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AE77C5" w14:textId="77777777" w:rsidR="009E7423" w:rsidRPr="00821292" w:rsidRDefault="009E7423" w:rsidP="00821292"/>
    <w:p w14:paraId="6635AA4A" w14:textId="60900282" w:rsidR="005C2B3E" w:rsidRDefault="006009FA">
      <w:pPr>
        <w:pStyle w:val="Title"/>
      </w:pPr>
      <w:r>
        <w:t xml:space="preserve">Preface to </w:t>
      </w:r>
      <w:r w:rsidRPr="006009FA">
        <w:rPr>
          <w:i/>
          <w:iCs/>
        </w:rPr>
        <w:t>Patrologia Graeca</w:t>
      </w:r>
      <w:r>
        <w:t xml:space="preserve"> volume 6</w:t>
      </w:r>
    </w:p>
    <w:p w14:paraId="36D1415A" w14:textId="7FD0EB17" w:rsidR="005C2B3E" w:rsidRDefault="006009FA">
      <w:pPr>
        <w:spacing w:before="720"/>
        <w:jc w:val="center"/>
      </w:pPr>
      <w:r>
        <w:t>D. Prudentius Maranus</w:t>
      </w:r>
    </w:p>
    <w:p w14:paraId="14C4EA9F" w14:textId="77777777" w:rsidR="005C2B3E" w:rsidRDefault="00000000">
      <w:pPr>
        <w:spacing w:before="720" w:after="0"/>
        <w:jc w:val="center"/>
      </w:pPr>
      <w:r>
        <w:rPr>
          <w:sz w:val="18"/>
        </w:rPr>
        <w:t>Translated by Rick Brannan</w:t>
      </w:r>
    </w:p>
    <w:p w14:paraId="61698FD4" w14:textId="77777777" w:rsidR="005C2B3E" w:rsidRDefault="00000000">
      <w:pPr>
        <w:spacing w:before="0"/>
        <w:jc w:val="center"/>
      </w:pPr>
      <w:r>
        <w:rPr>
          <w:sz w:val="18"/>
        </w:rPr>
        <w:t>with assistance from AI techniques</w:t>
      </w:r>
    </w:p>
    <w:p w14:paraId="29BFAF74" w14:textId="77777777" w:rsidR="005C2B3E" w:rsidRDefault="00000000">
      <w:pPr>
        <w:spacing w:before="5040"/>
        <w:jc w:val="center"/>
      </w:pPr>
      <w:r>
        <w:t>APPIAN WAY PRESS</w:t>
      </w:r>
    </w:p>
    <w:p w14:paraId="39BABD26" w14:textId="77777777" w:rsidR="005C2B3E" w:rsidRDefault="00000000">
      <w:r>
        <w:br w:type="page"/>
      </w:r>
    </w:p>
    <w:p w14:paraId="4BF723A2" w14:textId="77777777" w:rsidR="005C2B3E" w:rsidRDefault="005C2B3E">
      <w:pPr>
        <w:sectPr w:rsidR="005C2B3E">
          <w:headerReference w:type="even" r:id="rId8"/>
          <w:headerReference w:type="default" r:id="rId9"/>
          <w:footnotePr>
            <w:numRestart w:val="eachSect"/>
          </w:footnotePr>
          <w:type w:val="continuous"/>
          <w:pgSz w:w="8640" w:h="12960" w:code="9"/>
          <w:pgMar w:top="1080" w:right="720" w:bottom="1080" w:left="360" w:header="504" w:footer="504" w:gutter="720"/>
          <w:cols w:space="708"/>
          <w:titlePg/>
          <w:docGrid w:linePitch="360"/>
        </w:sectPr>
      </w:pPr>
    </w:p>
    <w:p w14:paraId="631EECF8" w14:textId="77777777" w:rsidR="005C2B3E" w:rsidRDefault="005C2B3E">
      <w:pPr>
        <w:pStyle w:val="Heading2"/>
      </w:pPr>
    </w:p>
    <w:p w14:paraId="3475CE3F" w14:textId="1FCDB807" w:rsidR="005C2B3E" w:rsidRDefault="006009FA">
      <w:pPr>
        <w:pStyle w:val="CopyrightInitial"/>
        <w:spacing w:before="6480"/>
      </w:pPr>
      <w:r>
        <w:t>preface to Patrologia graeca volume 6</w:t>
      </w:r>
    </w:p>
    <w:p w14:paraId="26760CCC" w14:textId="517F286E" w:rsidR="005C2B3E" w:rsidRDefault="00000000">
      <w:pPr>
        <w:pStyle w:val="Copyright"/>
      </w:pPr>
      <w:r>
        <w:t>Copyright © 2025 Rick Brannan.</w:t>
      </w:r>
      <w:r w:rsidR="006009FA">
        <w:t xml:space="preserve"> Released under a CC-BY-SA 4.0 license.</w:t>
      </w:r>
    </w:p>
    <w:p w14:paraId="76EB5415" w14:textId="77777777" w:rsidR="005C2B3E" w:rsidRDefault="00000000">
      <w:pPr>
        <w:pStyle w:val="Copyright"/>
      </w:pPr>
      <w:r>
        <w:t xml:space="preserve">Source edition: D. Prudentius Maranus, ed., </w:t>
      </w:r>
      <w:r>
        <w:rPr>
          <w:i/>
        </w:rPr>
        <w:t>Patrologia Graeca Tomus VI</w:t>
      </w:r>
      <w:r>
        <w:t>, Patrologia Graeca (Paris: J.P. Migne, 1857).</w:t>
      </w:r>
    </w:p>
    <w:p w14:paraId="3D05B153" w14:textId="77777777" w:rsidR="005C2B3E" w:rsidRDefault="00000000">
      <w:r>
        <w:br w:type="page"/>
      </w:r>
    </w:p>
    <w:p w14:paraId="1E709532" w14:textId="77777777" w:rsidR="005C2B3E" w:rsidRDefault="005C2B3E">
      <w:pPr>
        <w:sectPr w:rsidR="005C2B3E">
          <w:footnotePr>
            <w:numRestart w:val="eachSect"/>
          </w:footnotePr>
          <w:pgSz w:w="8640" w:h="12960" w:code="9"/>
          <w:pgMar w:top="1080" w:right="720" w:bottom="1080" w:left="360" w:header="504" w:footer="504" w:gutter="720"/>
          <w:cols w:space="708"/>
          <w:titlePg/>
          <w:docGrid w:linePitch="360"/>
        </w:sectPr>
      </w:pPr>
    </w:p>
    <w:p w14:paraId="6018630C" w14:textId="54C4863C" w:rsidR="005C2B3E" w:rsidRDefault="00000000">
      <w:pPr>
        <w:pStyle w:val="Heading1"/>
      </w:pPr>
      <w:r>
        <w:lastRenderedPageBreak/>
        <w:t xml:space="preserve">About This </w:t>
      </w:r>
      <w:r w:rsidR="006009FA">
        <w:t>Translation</w:t>
      </w:r>
    </w:p>
    <w:p w14:paraId="229CB2EE" w14:textId="55778D07" w:rsidR="005C2B3E" w:rsidRDefault="00000000">
      <w:r>
        <w:t xml:space="preserve">This </w:t>
      </w:r>
      <w:r w:rsidR="006009FA">
        <w:t>translation</w:t>
      </w:r>
      <w:r>
        <w:t xml:space="preserve"> was created on </w:t>
      </w:r>
      <w:r>
        <w:rPr>
          <w:rFonts w:ascii="Courier New" w:hAnsi="Courier New"/>
        </w:rPr>
        <w:t>2025-12-28</w:t>
      </w:r>
      <w:r>
        <w:t xml:space="preserve"> using the model </w:t>
      </w:r>
      <w:r>
        <w:rPr>
          <w:rFonts w:ascii="Courier New" w:hAnsi="Courier New"/>
        </w:rPr>
        <w:t>gpt-4.1-mini</w:t>
      </w:r>
      <w:r>
        <w:t xml:space="preserve"> from OpenAI. The index of names and places is drawn from named entity recognition using the model </w:t>
      </w:r>
      <w:r>
        <w:rPr>
          <w:rFonts w:ascii="Courier New" w:hAnsi="Courier New"/>
        </w:rPr>
        <w:t>sven-nm/roberta_classics_ner</w:t>
      </w:r>
      <w:r>
        <w:t xml:space="preserve">, available from HuggingFace, a community focused on responsible machine learning (ML) and AI. </w:t>
      </w:r>
    </w:p>
    <w:p w14:paraId="708919B1" w14:textId="3483405B" w:rsidR="005C2B3E" w:rsidRDefault="00000000">
      <w:r>
        <w:t xml:space="preserve">To ensure the </w:t>
      </w:r>
      <w:r w:rsidR="006009FA">
        <w:t>translation</w:t>
      </w:r>
      <w:r>
        <w:t xml:space="preserve"> is communicating the same meaning as the original, a sentence-level semantic similarity check was performed between the source text and revision using </w:t>
      </w:r>
      <w:r>
        <w:rPr>
          <w:rFonts w:ascii="Courier New" w:hAnsi="Courier New"/>
        </w:rPr>
        <w:t>sentence-transformers/LaBSE</w:t>
      </w:r>
      <w:r>
        <w:t xml:space="preserve">, available from HuggingFace. In addition to the sentence-level semantic similarity check, the text-to-translation length ratio was evaluated for each verse to locate and review possible hallucination. Finally, the generated text was reviewed. Obvious errors in chapter numbering and grammar were corrected. </w:t>
      </w:r>
    </w:p>
    <w:p w14:paraId="56AB9535" w14:textId="77777777" w:rsidR="005C2B3E" w:rsidRDefault="00000000">
      <w:pPr>
        <w:pStyle w:val="Heading3"/>
      </w:pPr>
      <w:r>
        <w:t>Disclaimer</w:t>
      </w:r>
    </w:p>
    <w:p w14:paraId="0F88007A" w14:textId="715FB2BF" w:rsidR="005C2B3E" w:rsidRDefault="00000000">
      <w:r>
        <w:t xml:space="preserve">Please note, as indicated above, that this </w:t>
      </w:r>
      <w:r w:rsidR="006009FA">
        <w:t>translation</w:t>
      </w:r>
      <w:r>
        <w:t xml:space="preserve"> is machine-generated. There are several older works that only available in old and difficult to read translations. This revision is an attempt to provide a readable and fairly literal modern English translation of the source text. The process that created this </w:t>
      </w:r>
      <w:r w:rsidR="006009FA">
        <w:t>translation</w:t>
      </w:r>
      <w:r>
        <w:t xml:space="preserve"> has done its best to mitigate hallucinations, but there may still be translation issues.  </w:t>
      </w:r>
    </w:p>
    <w:p w14:paraId="19A0B32F" w14:textId="77777777" w:rsidR="005C2B3E" w:rsidRDefault="005C2B3E">
      <w:pPr>
        <w:sectPr w:rsidR="005C2B3E">
          <w:footnotePr>
            <w:numRestart w:val="eachSect"/>
          </w:footnotePr>
          <w:pgSz w:w="8640" w:h="12960" w:code="9"/>
          <w:pgMar w:top="1080" w:right="720" w:bottom="1080" w:left="360" w:header="504" w:footer="504" w:gutter="720"/>
          <w:cols w:space="708"/>
          <w:titlePg/>
          <w:docGrid w:linePitch="360"/>
        </w:sectPr>
      </w:pPr>
    </w:p>
    <w:p w14:paraId="4506C1E1" w14:textId="77777777" w:rsidR="005C2B3E" w:rsidRDefault="00000000">
      <w:pPr>
        <w:pStyle w:val="Heading1"/>
      </w:pPr>
      <w:r>
        <w:lastRenderedPageBreak/>
        <w:t>PREFACE</w:t>
      </w:r>
    </w:p>
    <w:p w14:paraId="2F48AA3C" w14:textId="77777777" w:rsidR="005C2B3E" w:rsidRDefault="00000000">
      <w:pPr>
        <w:spacing w:before="180" w:after="0"/>
        <w:ind w:left="720" w:right="320" w:hanging="360"/>
      </w:pPr>
      <w:r>
        <w:t>in which it is discussed ABOUT THE PREVIOUS EDITIONS, ABOUT THE DOCTRINE OF ST. JUSTIN AND OTHER DEFENDERS OF THE FAITH, AND ABOUT THEIR DEEDS AND WRITINGS.</w:t>
      </w:r>
    </w:p>
    <w:p w14:paraId="11B77CF1" w14:textId="77777777" w:rsidR="005C2B3E" w:rsidRDefault="00000000">
      <w:r>
        <w:t>Besides the effort devoted to interpreting these writers, or to illuminating their context with various observations, many things have been deliberately left out of this preface. For the purpose of my work requires that I say something about the previous editions, and explain what I have attempted in this new one. A matter of far greater importance follows: the doctrine of these defenders of the faith, especially that of St</w:t>
      </w:r>
      <w:r>
        <w:fldChar w:fldCharType="begin"/>
      </w:r>
      <w:r>
        <w:instrText xml:space="preserve"> XE "St" \f "Persons"</w:instrText>
      </w:r>
      <w:r>
        <w:fldChar w:fldCharType="end"/>
      </w:r>
      <w:r>
        <w:t>. Justin</w:t>
      </w:r>
      <w:r>
        <w:fldChar w:fldCharType="begin"/>
      </w:r>
      <w:r>
        <w:instrText xml:space="preserve"> XE "Justin" \f "Persons"</w:instrText>
      </w:r>
      <w:r>
        <w:fldChar w:fldCharType="end"/>
      </w:r>
      <w:r>
        <w:t>, which I will try to clarify and explain where it is obscure and blocked by difficulties; and to defend where it has been wrongly attacked. Nor have I spared effort in that field, which is both the most delightful for the study of antiquity and very useful for the defense of their doctrines—that is, in examining and judging the deeds and writings of Justin, Tatian</w:t>
      </w:r>
      <w:r>
        <w:fldChar w:fldCharType="begin"/>
      </w:r>
      <w:r>
        <w:instrText xml:space="preserve"> XE "Tatian" \f "Persons"</w:instrText>
      </w:r>
      <w:r>
        <w:fldChar w:fldCharType="end"/>
      </w:r>
      <w:r>
        <w:t>, Athenagoras</w:t>
      </w:r>
      <w:r>
        <w:fldChar w:fldCharType="begin"/>
      </w:r>
      <w:r>
        <w:instrText xml:space="preserve"> XE "Athenagoras" \f "Persons"</w:instrText>
      </w:r>
      <w:r>
        <w:fldChar w:fldCharType="end"/>
      </w:r>
      <w:r>
        <w:t>, and Theophilus</w:t>
      </w:r>
      <w:r>
        <w:fldChar w:fldCharType="begin"/>
      </w:r>
      <w:r>
        <w:instrText xml:space="preserve"> XE "Theophilus" \f "Persons"</w:instrText>
      </w:r>
      <w:r>
        <w:fldChar w:fldCharType="end"/>
      </w:r>
      <w:r>
        <w:t>. Therefore, this preface will have three parts: In the first, I will discuss the previous editions of these writers and this latest edition of all; in the second, some opinions of Justin and also of Tatian, Athenagoras, and Theophilus; in the third, their deeds and writings.</w:t>
      </w:r>
    </w:p>
    <w:p w14:paraId="4740E56B" w14:textId="77777777" w:rsidR="005C2B3E" w:rsidRDefault="00000000">
      <w:pPr>
        <w:pStyle w:val="Heading2"/>
      </w:pPr>
      <w:r>
        <w:t>PART ONE</w:t>
      </w:r>
    </w:p>
    <w:p w14:paraId="1FAE18BC" w14:textId="77777777" w:rsidR="005C2B3E" w:rsidRDefault="00000000">
      <w:pPr>
        <w:spacing w:before="180" w:after="0"/>
        <w:ind w:left="720" w:right="320" w:hanging="360"/>
      </w:pPr>
      <w:r>
        <w:t>On the previous editions of the works of St. Justin the Martyr</w:t>
      </w:r>
      <w:r>
        <w:fldChar w:fldCharType="begin"/>
      </w:r>
      <w:r>
        <w:instrText xml:space="preserve"> XE "St. Justin the Martyr" \f "Persons"</w:instrText>
      </w:r>
      <w:r>
        <w:fldChar w:fldCharType="end"/>
      </w:r>
      <w:r>
        <w:t>, Tatian</w:t>
      </w:r>
      <w:r>
        <w:fldChar w:fldCharType="begin"/>
      </w:r>
      <w:r>
        <w:instrText xml:space="preserve"> XE "Tatian" \f "Persons"</w:instrText>
      </w:r>
      <w:r>
        <w:fldChar w:fldCharType="end"/>
      </w:r>
      <w:r>
        <w:t>, Athenagoras</w:t>
      </w:r>
      <w:r>
        <w:fldChar w:fldCharType="begin"/>
      </w:r>
      <w:r>
        <w:instrText xml:space="preserve"> XE "Athenagoras" \f "Persons"</w:instrText>
      </w:r>
      <w:r>
        <w:fldChar w:fldCharType="end"/>
      </w:r>
      <w:r>
        <w:t>, Theophilus of Antioch</w:t>
      </w:r>
      <w:r>
        <w:fldChar w:fldCharType="begin"/>
      </w:r>
      <w:r>
        <w:instrText xml:space="preserve"> XE "Theophilus of Antioch" \f "Persons"</w:instrText>
      </w:r>
      <w:r>
        <w:fldChar w:fldCharType="end"/>
      </w:r>
      <w:r>
        <w:t>, and Hermias</w:t>
      </w:r>
      <w:r>
        <w:fldChar w:fldCharType="begin"/>
      </w:r>
      <w:r>
        <w:instrText xml:space="preserve"> XE "Hermias" \f "Persons"</w:instrText>
      </w:r>
      <w:r>
        <w:fldChar w:fldCharType="end"/>
      </w:r>
    </w:p>
    <w:p w14:paraId="74F7961F" w14:textId="77777777" w:rsidR="005C2B3E" w:rsidRDefault="00000000">
      <w:pPr>
        <w:pStyle w:val="Heading3"/>
      </w:pPr>
      <w:r>
        <w:t>CHAPTER 1</w:t>
      </w:r>
    </w:p>
    <w:p w14:paraId="59471B72" w14:textId="77777777" w:rsidR="005C2B3E" w:rsidRDefault="00000000">
      <w:pPr>
        <w:pStyle w:val="Heading4"/>
      </w:pPr>
      <w:r>
        <w:t>ON THE GREEK EDITIONS OF THE WORKS OF ST. JUSTIN AND VARIOUS TRANSLATORS</w:t>
      </w:r>
    </w:p>
    <w:p w14:paraId="17F4CBBE" w14:textId="77777777" w:rsidR="005C2B3E" w:rsidRDefault="00000000">
      <w:r>
        <w:t xml:space="preserve">The </w:t>
      </w:r>
      <w:r>
        <w:rPr>
          <w:i/>
        </w:rPr>
        <w:t>Exhortation of St. Justin to the Greeks</w:t>
      </w:r>
      <w:r>
        <w:t xml:space="preserve"> was published in Greek and Latin at Paris in the year 1539, from the press of Guillard, but Robert Estienne was the first to publish all the works of the holy martyr in Greek in 1551, at the Royal Press, after he had drawn out this hidden treasure from the Royal Library. The careful diligence of this most famous man, which has been praised in so many works, earned the same praise in this edition. But, as it cannot be avoided that human nature completely escapes all blemish, </w:t>
      </w:r>
      <w:r>
        <w:lastRenderedPageBreak/>
        <w:t xml:space="preserve">some things, although very rare, differed from the manuscript code; partly he printed them carelessly, partly deliberately to soften the meaning which seemed too harsh to him. Moreover, what must be attributed to negligence, he published a brief discussion against the Gentiles, or rather a collection of observations, once after the </w:t>
      </w:r>
      <w:r>
        <w:rPr>
          <w:i/>
        </w:rPr>
        <w:t>Confutation of Aristotle’s Doctrines</w:t>
      </w:r>
      <w:r>
        <w:t xml:space="preserve"> quite accurately, but again after the </w:t>
      </w:r>
      <w:r>
        <w:rPr>
          <w:i/>
        </w:rPr>
        <w:t>Questions to the Orthodox</w:t>
      </w:r>
      <w:r>
        <w:t xml:space="preserve"> with gaps and many errors.</w:t>
      </w:r>
    </w:p>
    <w:p w14:paraId="2538FE02" w14:textId="77777777" w:rsidR="005C2B3E" w:rsidRDefault="00000000">
      <w:pPr>
        <w:ind w:firstLine="360"/>
      </w:pPr>
      <w:r>
        <w:t>The works of Justin</w:t>
      </w:r>
      <w:r>
        <w:fldChar w:fldCharType="begin"/>
      </w:r>
      <w:r>
        <w:instrText xml:space="preserve"> XE "Justin" \f "Persons"</w:instrText>
      </w:r>
      <w:r>
        <w:fldChar w:fldCharType="end"/>
      </w:r>
      <w:r>
        <w:t xml:space="preserve">, arranged by Robert Estienne without selection of material, without distinction between genuine and spurious, as he found them in the manuscript code, were set out in this way: </w:t>
      </w:r>
      <w:r>
        <w:rPr>
          <w:i/>
        </w:rPr>
        <w:t>Letter to Zenas and Serenus, Exhortation to the Greeks, Dialogue with Trypho the Jew, Apology for the Christians to the Senate, Apology to Antoninus, On the Monarchy of God, Confutation of some of Aristotle</w:t>
      </w:r>
      <w:r>
        <w:fldChar w:fldCharType="begin"/>
      </w:r>
      <w:r>
        <w:instrText xml:space="preserve"> XE "Aristotle" \f "Persons"</w:instrText>
      </w:r>
      <w:r>
        <w:fldChar w:fldCharType="end"/>
      </w:r>
      <w:r>
        <w:rPr>
          <w:i/>
        </w:rPr>
        <w:t>’s Doctrines, Questions of Christians to the Greeks, Questions and Answers to the Orthodox, Questions of the Greeks to the Christians</w:t>
      </w:r>
      <w:r>
        <w:t>. The most learned Fabricius</w:t>
      </w:r>
      <w:r>
        <w:fldChar w:fldCharType="begin"/>
      </w:r>
      <w:r>
        <w:instrText xml:space="preserve"> XE "Fabricius" \f "Persons"</w:instrText>
      </w:r>
      <w:r>
        <w:fldChar w:fldCharType="end"/>
      </w:r>
      <w:r>
        <w:t xml:space="preserve"> testifies that both </w:t>
      </w:r>
      <w:r>
        <w:rPr>
          <w:i/>
        </w:rPr>
        <w:t>Apologies</w:t>
      </w:r>
      <w:r>
        <w:t xml:space="preserve"> had long ago been published in Greek at Rome by Zannero in octavo, together with some works of Gregory Thaumaturgus</w:t>
      </w:r>
      <w:r>
        <w:fldChar w:fldCharType="begin"/>
      </w:r>
      <w:r>
        <w:instrText xml:space="preserve"> XE "Gregory Thaumaturgus" \f "Persons"</w:instrText>
      </w:r>
      <w:r>
        <w:fldChar w:fldCharType="end"/>
      </w:r>
      <w:r>
        <w:t>, Athanasius</w:t>
      </w:r>
      <w:r>
        <w:fldChar w:fldCharType="begin"/>
      </w:r>
      <w:r>
        <w:instrText xml:space="preserve"> XE "Athanasius" \f "Persons"</w:instrText>
      </w:r>
      <w:r>
        <w:fldChar w:fldCharType="end"/>
      </w:r>
      <w:r>
        <w:t>, Basil</w:t>
      </w:r>
      <w:r>
        <w:fldChar w:fldCharType="begin"/>
      </w:r>
      <w:r>
        <w:instrText xml:space="preserve"> XE "Basil" \f "Persons"</w:instrText>
      </w:r>
      <w:r>
        <w:fldChar w:fldCharType="end"/>
      </w:r>
      <w:r>
        <w:t>, Gregory Nazianzen</w:t>
      </w:r>
      <w:r>
        <w:fldChar w:fldCharType="begin"/>
      </w:r>
      <w:r>
        <w:instrText xml:space="preserve"> XE "Gregory Nazianzen" \f "Persons"</w:instrText>
      </w:r>
      <w:r>
        <w:fldChar w:fldCharType="end"/>
      </w:r>
      <w:r>
        <w:t>, and Chrysostom</w:t>
      </w:r>
      <w:r>
        <w:fldChar w:fldCharType="begin"/>
      </w:r>
      <w:r>
        <w:instrText xml:space="preserve"> XE "Chrysostom" \f "Persons"</w:instrText>
      </w:r>
      <w:r>
        <w:fldChar w:fldCharType="end"/>
      </w:r>
      <w:r>
        <w:t>, under the care of Hieronymus Bunellus</w:t>
      </w:r>
      <w:r>
        <w:fldChar w:fldCharType="begin"/>
      </w:r>
      <w:r>
        <w:instrText xml:space="preserve"> XE "Bunellus" \f "Persons"</w:instrText>
      </w:r>
      <w:r>
        <w:fldChar w:fldCharType="end"/>
      </w:r>
      <w:r>
        <w:t>, S.J.</w:t>
      </w:r>
    </w:p>
    <w:p w14:paraId="16755F3B" w14:textId="77777777" w:rsidR="005C2B3E" w:rsidRDefault="00000000">
      <w:pPr>
        <w:ind w:firstLine="360"/>
      </w:pPr>
      <w:r>
        <w:t>Since the usefulness of Justin</w:t>
      </w:r>
      <w:r>
        <w:fldChar w:fldCharType="begin"/>
      </w:r>
      <w:r>
        <w:instrText xml:space="preserve"> XE "Justin" \f "Persons"</w:instrText>
      </w:r>
      <w:r>
        <w:fldChar w:fldCharType="end"/>
      </w:r>
      <w:r>
        <w:t>’s works was closed to those who did not know Greek, some scholars undertook to explain him in Latin letters. In this field, the first to excel was Joachim</w:t>
      </w:r>
      <w:r>
        <w:fldChar w:fldCharType="begin"/>
      </w:r>
      <w:r>
        <w:instrText xml:space="preserve"> XE "Joachim" \f "Persons"</w:instrText>
      </w:r>
      <w:r>
        <w:fldChar w:fldCharType="end"/>
      </w:r>
      <w:r>
        <w:t xml:space="preserve"> Perionius</w:t>
      </w:r>
      <w:r>
        <w:fldChar w:fldCharType="begin"/>
      </w:r>
      <w:r>
        <w:instrText xml:space="preserve"> XE "Perionius" \f "Persons"</w:instrText>
      </w:r>
      <w:r>
        <w:fldChar w:fldCharType="end"/>
      </w:r>
      <w:r>
        <w:t xml:space="preserve">, a monk of the order of St. Benedict from the monastery of Cormery, and a doctor of theology, trained in Greek and Latin letters. His work appeared in the year 1554 in folio at the press of Jacob Dupuis. A brief Life of Justin, collected from his own works, is prefixed to the Latin translation. After each discussion, notes are added to explain the context. Deceived by the first words of the </w:t>
      </w:r>
      <w:r>
        <w:rPr>
          <w:i/>
        </w:rPr>
        <w:t>Exposition of the Faith</w:t>
      </w:r>
      <w:r>
        <w:t>, in which Pseudo</w:t>
      </w:r>
      <w:r>
        <w:fldChar w:fldCharType="begin"/>
      </w:r>
      <w:r>
        <w:instrText xml:space="preserve"> XE "Pseudo" \f "Persons"</w:instrText>
      </w:r>
      <w:r>
        <w:fldChar w:fldCharType="end"/>
      </w:r>
      <w:r>
        <w:t xml:space="preserve">-Justin testifies that he had written quite a lot against the Jews and Gentiles, Perionius thought it proper to place before this </w:t>
      </w:r>
      <w:r>
        <w:rPr>
          <w:i/>
        </w:rPr>
        <w:t>Exposition of the Faith</w:t>
      </w:r>
      <w:r>
        <w:t xml:space="preserve"> the </w:t>
      </w:r>
      <w:r>
        <w:rPr>
          <w:i/>
        </w:rPr>
        <w:t>Dialogue</w:t>
      </w:r>
      <w:r>
        <w:t xml:space="preserve">, two </w:t>
      </w:r>
      <w:r>
        <w:rPr>
          <w:i/>
        </w:rPr>
        <w:t>Apologies</w:t>
      </w:r>
      <w:r>
        <w:t xml:space="preserve">, the </w:t>
      </w:r>
      <w:r>
        <w:rPr>
          <w:i/>
        </w:rPr>
        <w:t>Exhortation</w:t>
      </w:r>
      <w:r>
        <w:t xml:space="preserve">, and the </w:t>
      </w:r>
      <w:r>
        <w:rPr>
          <w:i/>
        </w:rPr>
        <w:t>Little Book on the Monarchy</w:t>
      </w:r>
      <w:r>
        <w:t xml:space="preserve">; then, after the </w:t>
      </w:r>
      <w:r>
        <w:rPr>
          <w:i/>
        </w:rPr>
        <w:t>Exposition of the Faith</w:t>
      </w:r>
      <w:r>
        <w:t xml:space="preserve"> or right confession, he gave place to the </w:t>
      </w:r>
      <w:r>
        <w:rPr>
          <w:i/>
        </w:rPr>
        <w:t>Letter to Zenas and Serenus</w:t>
      </w:r>
      <w:r>
        <w:t xml:space="preserve">, various </w:t>
      </w:r>
      <w:r>
        <w:rPr>
          <w:i/>
        </w:rPr>
        <w:t>Questions</w:t>
      </w:r>
      <w:r>
        <w:t xml:space="preserve">, and finally the </w:t>
      </w:r>
      <w:r>
        <w:rPr>
          <w:i/>
        </w:rPr>
        <w:t>Confutation of Aristotle</w:t>
      </w:r>
      <w:r>
        <w:fldChar w:fldCharType="begin"/>
      </w:r>
      <w:r>
        <w:instrText xml:space="preserve"> XE "Aristotle" \f "Persons"</w:instrText>
      </w:r>
      <w:r>
        <w:fldChar w:fldCharType="end"/>
      </w:r>
      <w:r>
        <w:rPr>
          <w:i/>
        </w:rPr>
        <w:t>’s Doctrines</w:t>
      </w:r>
      <w:r>
        <w:t xml:space="preserve">. However, Perionius knew, and he himself notes in the first note on the </w:t>
      </w:r>
      <w:r>
        <w:rPr>
          <w:i/>
        </w:rPr>
        <w:t>Exposition of the Faith</w:t>
      </w:r>
      <w:r>
        <w:t>, that Justin had sharpened his style more against the Gentiles than the Jews. Nevertheless, he decided to follow the order which he thought was indicated by the holy martyr.</w:t>
      </w:r>
    </w:p>
    <w:p w14:paraId="2FD31F5E" w14:textId="77777777" w:rsidR="005C2B3E" w:rsidRDefault="00000000">
      <w:pPr>
        <w:ind w:firstLine="360"/>
      </w:pPr>
      <w:r>
        <w:t>Perionius</w:t>
      </w:r>
      <w:r>
        <w:fldChar w:fldCharType="begin"/>
      </w:r>
      <w:r>
        <w:instrText xml:space="preserve"> XE "Perionius" \f "Persons"</w:instrText>
      </w:r>
      <w:r>
        <w:fldChar w:fldCharType="end"/>
      </w:r>
      <w:r>
        <w:t>’s translation is more elegant than accurate, as some scholars have noted with no small sharpness about the translator. But leniency should be shown to him, who, having no one to follow, led others in this dangerous gamble.</w:t>
      </w:r>
    </w:p>
    <w:p w14:paraId="5167372F" w14:textId="77777777" w:rsidR="005C2B3E" w:rsidRDefault="00000000">
      <w:pPr>
        <w:ind w:firstLine="360"/>
      </w:pPr>
      <w:r>
        <w:t>At first, Perionius</w:t>
      </w:r>
      <w:r>
        <w:fldChar w:fldCharType="begin"/>
      </w:r>
      <w:r>
        <w:instrText xml:space="preserve"> XE "Perionius" \f "Persons"</w:instrText>
      </w:r>
      <w:r>
        <w:fldChar w:fldCharType="end"/>
      </w:r>
      <w:r>
        <w:t xml:space="preserve"> had decided, as he himself relates in the Admonition to the Reader, not to publish all the books of Justin</w:t>
      </w:r>
      <w:r>
        <w:fldChar w:fldCharType="begin"/>
      </w:r>
      <w:r>
        <w:instrText xml:space="preserve"> XE "Justin" \f "Persons"</w:instrText>
      </w:r>
      <w:r>
        <w:fldChar w:fldCharType="end"/>
      </w:r>
      <w:r>
        <w:t xml:space="preserve"> at once, but to issue some at different times in short pages, according to the order he judged should be assigned to them. But </w:t>
      </w:r>
      <w:r>
        <w:lastRenderedPageBreak/>
        <w:t xml:space="preserve">he changed his plan and included all the works of Justin in one and the same volume, yet so as not to wrong the distinguished men to whose names he had promised to dedicate some of the holy martyr’s books. Hence the </w:t>
      </w:r>
      <w:r>
        <w:rPr>
          <w:i/>
        </w:rPr>
        <w:t>Dialogue</w:t>
      </w:r>
      <w:r>
        <w:t xml:space="preserve"> is named after Cardinal Otho Castalonio</w:t>
      </w:r>
      <w:r>
        <w:fldChar w:fldCharType="begin"/>
      </w:r>
      <w:r>
        <w:instrText xml:space="preserve"> XE "Castalonio" \f "Persons"</w:instrText>
      </w:r>
      <w:r>
        <w:fldChar w:fldCharType="end"/>
      </w:r>
      <w:r>
        <w:t xml:space="preserve">, in which indeed he praises the study of theology in the highest rank of dignity; for he, having begun to gain knowledge of this science </w:t>
      </w:r>
      <w:r>
        <w:rPr>
          <w:i/>
        </w:rPr>
        <w:t>after enjoying the wonderful fruits of humanistic studies under the most learned and eloquent teacher Nicolaus</w:t>
      </w:r>
      <w:r>
        <w:fldChar w:fldCharType="begin"/>
      </w:r>
      <w:r>
        <w:instrText xml:space="preserve"> XE "Nicolaus" \f "Persons"</w:instrText>
      </w:r>
      <w:r>
        <w:fldChar w:fldCharType="end"/>
      </w:r>
      <w:r>
        <w:rPr>
          <w:i/>
        </w:rPr>
        <w:t xml:space="preserve"> Beraldus</w:t>
      </w:r>
      <w:r>
        <w:fldChar w:fldCharType="begin"/>
      </w:r>
      <w:r>
        <w:instrText xml:space="preserve"> XE "Beraldus" \f "Persons"</w:instrText>
      </w:r>
      <w:r>
        <w:fldChar w:fldCharType="end"/>
      </w:r>
      <w:r>
        <w:rPr>
          <w:i/>
        </w:rPr>
        <w:t>, had judged it not only pleasant and useful but also necessary throughout all life</w:t>
      </w:r>
      <w:r>
        <w:t xml:space="preserve">. Perionius aptly describes the state of literary affairs at that time, when the efforts to find and publish ancient books were fervent, especially since Francis I, who worked marvelously </w:t>
      </w:r>
      <w:r>
        <w:rPr>
          <w:i/>
        </w:rPr>
        <w:t>to bring from Greece and Judea</w:t>
      </w:r>
      <w:r>
        <w:t xml:space="preserve">, as Perionius says, </w:t>
      </w:r>
      <w:r>
        <w:rPr>
          <w:i/>
        </w:rPr>
        <w:t>a great number of Greek and Hebrew books, had inspired many not only French but also Italians, Spaniards, and Germans with a most beautiful example</w:t>
      </w:r>
      <w:r>
        <w:t>.</w:t>
      </w:r>
    </w:p>
    <w:p w14:paraId="7FBCDE56" w14:textId="77777777" w:rsidR="005C2B3E" w:rsidRDefault="00000000">
      <w:pPr>
        <w:ind w:firstLine="360"/>
      </w:pPr>
      <w:r>
        <w:t xml:space="preserve">Both </w:t>
      </w:r>
      <w:r>
        <w:rPr>
          <w:i/>
        </w:rPr>
        <w:t>Apologies</w:t>
      </w:r>
      <w:r>
        <w:t xml:space="preserve"> are named after John Burgius of the Olivetan monastery in Bourges, whom Perionius</w:t>
      </w:r>
      <w:r>
        <w:fldChar w:fldCharType="begin"/>
      </w:r>
      <w:r>
        <w:instrText xml:space="preserve"> XE "Perionius" \f "Persons"</w:instrText>
      </w:r>
      <w:r>
        <w:fldChar w:fldCharType="end"/>
      </w:r>
      <w:r>
        <w:t xml:space="preserve">, having long since gained into friendship, did not cease to urge </w:t>
      </w:r>
      <w:r>
        <w:rPr>
          <w:i/>
        </w:rPr>
        <w:t>to maintain and continue the course of studies and to carry out the office of prefect from</w:t>
      </w:r>
      <w:r>
        <w:t xml:space="preserve"> his </w:t>
      </w:r>
      <w:r>
        <w:rPr>
          <w:i/>
        </w:rPr>
        <w:t>own dignity and for the benefit of his people</w:t>
      </w:r>
      <w:r>
        <w:t>.</w:t>
      </w:r>
    </w:p>
    <w:p w14:paraId="0BAA8866" w14:textId="77777777" w:rsidR="005C2B3E" w:rsidRDefault="00000000">
      <w:pPr>
        <w:ind w:firstLine="360"/>
      </w:pPr>
      <w:r>
        <w:t xml:space="preserve">The </w:t>
      </w:r>
      <w:r>
        <w:rPr>
          <w:i/>
        </w:rPr>
        <w:t>Exhortation to the Greeks</w:t>
      </w:r>
      <w:r>
        <w:t xml:space="preserve"> and the </w:t>
      </w:r>
      <w:r>
        <w:rPr>
          <w:i/>
        </w:rPr>
        <w:t>Book on Monarchy</w:t>
      </w:r>
      <w:r>
        <w:t xml:space="preserve"> appear under the name of Francis Boher, bishop of Meaux, to whom Perionius</w:t>
      </w:r>
      <w:r>
        <w:fldChar w:fldCharType="begin"/>
      </w:r>
      <w:r>
        <w:instrText xml:space="preserve"> XE "Perionius" \f "Persons"</w:instrText>
      </w:r>
      <w:r>
        <w:fldChar w:fldCharType="end"/>
      </w:r>
      <w:r>
        <w:t xml:space="preserve"> and his uncle Dionysius</w:t>
      </w:r>
      <w:r>
        <w:fldChar w:fldCharType="begin"/>
      </w:r>
      <w:r>
        <w:instrText xml:space="preserve"> XE "Dionysius" \f "Persons"</w:instrText>
      </w:r>
      <w:r>
        <w:fldChar w:fldCharType="end"/>
      </w:r>
      <w:r>
        <w:t xml:space="preserve"> Briconetus</w:t>
      </w:r>
      <w:r>
        <w:fldChar w:fldCharType="begin"/>
      </w:r>
      <w:r>
        <w:instrText xml:space="preserve"> XE "Briconetus" \f "Persons"</w:instrText>
      </w:r>
      <w:r>
        <w:fldChar w:fldCharType="end"/>
      </w:r>
      <w:r>
        <w:t>, abbot of Cormery and bishop of Meaux, owed much. For when some wished to cut off their kindness to Perionius, who was working on texts in Paris and had supplied him with everything, Briconetus, when he learned this, supported him with his own resources and, dying, entrusted him to Francis Boher, whose generosity was no less extensive.</w:t>
      </w:r>
    </w:p>
    <w:p w14:paraId="283F6DF9" w14:textId="77777777" w:rsidR="005C2B3E" w:rsidRDefault="00000000">
      <w:pPr>
        <w:ind w:firstLine="360"/>
      </w:pPr>
      <w:r>
        <w:t>Since Perionius</w:t>
      </w:r>
      <w:r>
        <w:fldChar w:fldCharType="begin"/>
      </w:r>
      <w:r>
        <w:instrText xml:space="preserve"> XE "Perionius" \f "Persons"</w:instrText>
      </w:r>
      <w:r>
        <w:fldChar w:fldCharType="end"/>
      </w:r>
      <w:r>
        <w:t xml:space="preserve"> considered the </w:t>
      </w:r>
      <w:r>
        <w:rPr>
          <w:i/>
        </w:rPr>
        <w:t>Exposition of the Faith</w:t>
      </w:r>
      <w:r>
        <w:t xml:space="preserve"> to be a genuine work of Justin</w:t>
      </w:r>
      <w:r>
        <w:fldChar w:fldCharType="begin"/>
      </w:r>
      <w:r>
        <w:instrText xml:space="preserve"> XE "Justin" \f "Persons"</w:instrText>
      </w:r>
      <w:r>
        <w:fldChar w:fldCharType="end"/>
      </w:r>
      <w:r>
        <w:t xml:space="preserve">, and had not noticed the stains of Nestorian error with which this work is marked, he did not think he could </w:t>
      </w:r>
      <w:r>
        <w:rPr>
          <w:i/>
        </w:rPr>
        <w:t>send any book containing greater or more important matters to Cardinal Charles of Lorraine</w:t>
      </w:r>
      <w:r>
        <w:t xml:space="preserve">, and he added the </w:t>
      </w:r>
      <w:r>
        <w:rPr>
          <w:i/>
        </w:rPr>
        <w:t>Letter to Zenas</w:t>
      </w:r>
      <w:r>
        <w:fldChar w:fldCharType="begin"/>
      </w:r>
      <w:r>
        <w:instrText xml:space="preserve"> XE "Zenas" \f "Persons"</w:instrText>
      </w:r>
      <w:r>
        <w:fldChar w:fldCharType="end"/>
      </w:r>
      <w:r>
        <w:rPr>
          <w:i/>
        </w:rPr>
        <w:t xml:space="preserve"> and Serenus</w:t>
      </w:r>
      <w:r>
        <w:t xml:space="preserve"> and the </w:t>
      </w:r>
      <w:r>
        <w:rPr>
          <w:i/>
        </w:rPr>
        <w:t>Five Questions of Christians to the Greeks</w:t>
      </w:r>
      <w:r>
        <w:t xml:space="preserve">. The remaining </w:t>
      </w:r>
      <w:r>
        <w:rPr>
          <w:i/>
        </w:rPr>
        <w:t>Questions</w:t>
      </w:r>
      <w:r>
        <w:t xml:space="preserve"> are addressed to Cardinal François de Tournon. The </w:t>
      </w:r>
      <w:r>
        <w:rPr>
          <w:i/>
        </w:rPr>
        <w:t>Confutation of Aristotle</w:t>
      </w:r>
      <w:r>
        <w:fldChar w:fldCharType="begin"/>
      </w:r>
      <w:r>
        <w:instrText xml:space="preserve"> XE "Aristotle" \f "Persons"</w:instrText>
      </w:r>
      <w:r>
        <w:fldChar w:fldCharType="end"/>
      </w:r>
      <w:r>
        <w:t xml:space="preserve"> remained: this he published under the name of Philibert Babou, bishop of Angoulême, and quite frankly admits his fear, </w:t>
      </w:r>
      <w:r>
        <w:rPr>
          <w:i/>
        </w:rPr>
        <w:t>lest by reading this book others be deterred from reading Aristotle more than Plato</w:t>
      </w:r>
      <w:r>
        <w:fldChar w:fldCharType="begin"/>
      </w:r>
      <w:r>
        <w:instrText xml:space="preserve"> XE "Plato" \f "Persons"</w:instrText>
      </w:r>
      <w:r>
        <w:fldChar w:fldCharType="end"/>
      </w:r>
      <w:r>
        <w:t xml:space="preserve">. A little earlier he had said: </w:t>
      </w:r>
      <w:r>
        <w:rPr>
          <w:i/>
        </w:rPr>
        <w:t>Our ancestors, having clearly rejected Platonic teaching, both approved Aristotelian philosophy in this foremost academy and wished it to be approved and retained by their own people</w:t>
      </w:r>
      <w:r>
        <w:t xml:space="preserve">. Therefore, the love and study of Justin is not so great that he would think Aristotle defeated by him. </w:t>
      </w:r>
      <w:r>
        <w:rPr>
          <w:i/>
        </w:rPr>
        <w:t>Indeed, I can truly say this</w:t>
      </w:r>
      <w:r>
        <w:t xml:space="preserve">, he says, </w:t>
      </w:r>
      <w:r>
        <w:rPr>
          <w:i/>
        </w:rPr>
        <w:t>that Aristotelians, if they wish</w:t>
      </w:r>
      <w:r>
        <w:t xml:space="preserve"> (</w:t>
      </w:r>
      <w:r>
        <w:rPr>
          <w:i/>
        </w:rPr>
        <w:t>since Justin here refutes him only by his own reasons and principles, for men not alien to our religion cannot be pressed by the testimonies of divine writers</w:t>
      </w:r>
      <w:r>
        <w:t xml:space="preserve">), </w:t>
      </w:r>
      <w:r>
        <w:rPr>
          <w:i/>
        </w:rPr>
        <w:t xml:space="preserve">can easily respond to those things </w:t>
      </w:r>
      <w:r>
        <w:rPr>
          <w:i/>
        </w:rPr>
        <w:lastRenderedPageBreak/>
        <w:t>which, apart from our religion, he wishes to hold against him: especially since there is no discipline so weak and badly founded that its followers cannot defend the decrees of their leader</w:t>
      </w:r>
      <w:r>
        <w:t>.</w:t>
      </w:r>
    </w:p>
    <w:p w14:paraId="246AB6C9" w14:textId="77777777" w:rsidR="005C2B3E" w:rsidRDefault="00000000">
      <w:pPr>
        <w:ind w:firstLine="360"/>
      </w:pPr>
      <w:r>
        <w:t xml:space="preserve">The following year, that is 1555, an edition appeared at Basel, and another translation was printed again in Paris in 1575, prepared by Sigismund Gelenius, who, having died in the middle of the work, left it unfinished. A certain man skilled in Greek and Latin undertook to complete it, who, as Bishop Nicholas testifies in the </w:t>
      </w:r>
      <w:r>
        <w:rPr>
          <w:i/>
        </w:rPr>
        <w:t>Admonition to the Reader</w:t>
      </w:r>
      <w:r>
        <w:t>, not only made the last books in Latin but also supplied many passages in the earlier ones, where poems had been quoted from the authors, which Gelenius had skipped so as not to delay the course of his translation. he supplied them, however, more in sense than in verse, although he was an excellent poet, and also outstanding in many other gifts of God, especially in restoring the corruptions of the writers in both languages: about whom I will speak so little the more because it is well known to many.</w:t>
      </w:r>
    </w:p>
    <w:p w14:paraId="2CF301E1" w14:textId="77777777" w:rsidR="005C2B3E" w:rsidRDefault="00000000">
      <w:pPr>
        <w:ind w:firstLine="360"/>
      </w:pPr>
      <w:r>
        <w:t xml:space="preserve">The last books, which were left to a learned man to translate, seem to be the </w:t>
      </w:r>
      <w:r>
        <w:rPr>
          <w:i/>
        </w:rPr>
        <w:t>Confutation of Aristotle</w:t>
      </w:r>
      <w:r>
        <w:fldChar w:fldCharType="begin"/>
      </w:r>
      <w:r>
        <w:instrText xml:space="preserve"> XE "Aristotle" \f "Persons"</w:instrText>
      </w:r>
      <w:r>
        <w:fldChar w:fldCharType="end"/>
      </w:r>
      <w:r>
        <w:rPr>
          <w:i/>
        </w:rPr>
        <w:t>’s Doctrines</w:t>
      </w:r>
      <w:r>
        <w:t xml:space="preserve">, </w:t>
      </w:r>
      <w:r>
        <w:rPr>
          <w:i/>
        </w:rPr>
        <w:t>Questions to the Orthodox</w:t>
      </w:r>
      <w:r>
        <w:t xml:space="preserve">, and other </w:t>
      </w:r>
      <w:r>
        <w:rPr>
          <w:i/>
        </w:rPr>
        <w:t>Questions of Christians to the Greeks</w:t>
      </w:r>
      <w:r>
        <w:t xml:space="preserve"> and </w:t>
      </w:r>
      <w:r>
        <w:rPr>
          <w:i/>
        </w:rPr>
        <w:t>of Greeks to Christians</w:t>
      </w:r>
      <w:r>
        <w:t>. These were rendered more carefully than Gelenius</w:t>
      </w:r>
      <w:r>
        <w:fldChar w:fldCharType="begin"/>
      </w:r>
      <w:r>
        <w:instrText xml:space="preserve"> XE "Gelenius" \f "Persons"</w:instrText>
      </w:r>
      <w:r>
        <w:fldChar w:fldCharType="end"/>
      </w:r>
      <w:r>
        <w:t xml:space="preserve"> usually did. The name of the learned man, worthy to be passed on to posterity, was omitted, perhaps out of respect for his modesty. This edition keeps the order of the works that Robert Estienne had followed. In the Paris edition, which came out in 1575, the speech of St. Hippolytus on the end of the world and the Antichrist, and on the second coming of the Lord Jesus Christ, from the translation of Johannes Pici, was added.</w:t>
      </w:r>
    </w:p>
    <w:p w14:paraId="019BEBCF" w14:textId="77777777" w:rsidR="005C2B3E" w:rsidRDefault="00000000">
      <w:pPr>
        <w:ind w:firstLine="360"/>
      </w:pPr>
      <w:r>
        <w:t>Johannes Langus</w:t>
      </w:r>
      <w:r>
        <w:fldChar w:fldCharType="begin"/>
      </w:r>
      <w:r>
        <w:instrText xml:space="preserve"> XE "Langus" \f "Persons"</w:instrText>
      </w:r>
      <w:r>
        <w:fldChar w:fldCharType="end"/>
      </w:r>
      <w:r>
        <w:t xml:space="preserve"> of Silesia</w:t>
      </w:r>
      <w:r>
        <w:fldChar w:fldCharType="begin"/>
      </w:r>
      <w:r>
        <w:instrText xml:space="preserve"> XE "Johannes Langus of Silesia" \f "Persons"</w:instrText>
      </w:r>
      <w:r>
        <w:fldChar w:fldCharType="end"/>
      </w:r>
      <w:r>
        <w:t xml:space="preserve"> published a third translation in 1565 at Basel, with added commentaries. He had completed the work before the writings of Perionius</w:t>
      </w:r>
      <w:r>
        <w:fldChar w:fldCharType="begin"/>
      </w:r>
      <w:r>
        <w:instrText xml:space="preserve"> XE "Perionius" \f "Persons"</w:instrText>
      </w:r>
      <w:r>
        <w:fldChar w:fldCharType="end"/>
      </w:r>
      <w:r>
        <w:t xml:space="preserve"> and Gelenius</w:t>
      </w:r>
      <w:r>
        <w:fldChar w:fldCharType="begin"/>
      </w:r>
      <w:r>
        <w:instrText xml:space="preserve"> XE "Gelenius" \f "Persons"</w:instrText>
      </w:r>
      <w:r>
        <w:fldChar w:fldCharType="end"/>
      </w:r>
      <w:r>
        <w:t xml:space="preserve"> came into his hands; but after reading them, he testifies that he not only did not regret his own work but was also encouraged to entrust it more willingly to the judgment of others. His hope did not deceive him; for his translation is preferred to the others. Yet, although he does not translate as freely as Gelenius, nor slip as often as Perionius, it is not without its own errors, some of which he would have avoided if he had carefully compared the translations of Perionius and Gelenius with his own; not to mention that by imitating both, it could often have been made clearer and more elegant. Langus’s translation was honored in later editions, except for the 1618 Cologne Library of the Fathers, which included Perionius’s translation.</w:t>
      </w:r>
    </w:p>
    <w:p w14:paraId="55B21A39" w14:textId="77777777" w:rsidR="005C2B3E" w:rsidRDefault="00000000">
      <w:pPr>
        <w:ind w:firstLine="360"/>
      </w:pPr>
      <w:r>
        <w:t xml:space="preserve">When considering Langus’s work, it occurred to me to wonder at the man’s opinion about the controversies that were then raging with great heat. In the dedicatory letter to Maximilian, King of Bohemia, he laments the dissensions that had arisen for about forty years in Germany and other places. Yet he is not at all disturbed </w:t>
      </w:r>
      <w:r>
        <w:lastRenderedPageBreak/>
        <w:t xml:space="preserve">by the agreement that had previously existed on these matters and did not cease to exist among Catholics. He seems to hold that many holy Fathers exist, and he argues that, </w:t>
      </w:r>
      <w:r>
        <w:rPr>
          <w:i/>
        </w:rPr>
        <w:t>as the lamps of the Church, they ought to have great authority in it, not only privately among individuals but also publicly in sacred assemblies and councils before all mortals, in whose name and glory of Christ and their own salvation nothing is earlier or more ancient</w:t>
      </w:r>
      <w:r>
        <w:t>.</w:t>
      </w:r>
    </w:p>
    <w:p w14:paraId="2CA4D520" w14:textId="77777777" w:rsidR="005C2B3E" w:rsidRDefault="00000000">
      <w:pPr>
        <w:ind w:firstLine="360"/>
      </w:pPr>
      <w:r>
        <w:t>But how badly does that praise of the holy Fathers follow its own principles and instructions! For while he comments on the famous passage of Justin</w:t>
      </w:r>
      <w:r>
        <w:fldChar w:fldCharType="begin"/>
      </w:r>
      <w:r>
        <w:instrText xml:space="preserve"> XE "Justin" \f "Persons"</w:instrText>
      </w:r>
      <w:r>
        <w:fldChar w:fldCharType="end"/>
      </w:r>
      <w:r>
        <w:t xml:space="preserve">, </w:t>
      </w:r>
      <w:r>
        <w:rPr>
          <w:i/>
        </w:rPr>
        <w:t>Apol.</w:t>
      </w:r>
      <w:r>
        <w:t xml:space="preserve"> 1, no. 65, where the holy martyr so clearly and firmly affirms that bread and wine become the body and blood of Christ, just as the Word itself became man; what does Langus</w:t>
      </w:r>
      <w:r>
        <w:fldChar w:fldCharType="begin"/>
      </w:r>
      <w:r>
        <w:instrText xml:space="preserve"> XE "Langus" \f "Persons"</w:instrText>
      </w:r>
      <w:r>
        <w:fldChar w:fldCharType="end"/>
      </w:r>
      <w:r>
        <w:t xml:space="preserve"> oppose to this testimony? For him, Valentinus Cratoaldus</w:t>
      </w:r>
      <w:r>
        <w:fldChar w:fldCharType="begin"/>
      </w:r>
      <w:r>
        <w:instrText xml:space="preserve"> XE "Valentinus Cratoaldus" \f "Persons"</w:instrText>
      </w:r>
      <w:r>
        <w:fldChar w:fldCharType="end"/>
      </w:r>
      <w:r>
        <w:t xml:space="preserve">, a priest of Wrocław, who had been his teacher in Greek letters, stands as one man for all the Fathers. Relying on this guide and teacher, he does not hesitate to invert the words of Christ, </w:t>
      </w:r>
      <w:r>
        <w:rPr>
          <w:i/>
        </w:rPr>
        <w:t>This is my body, this is my blood</w:t>
      </w:r>
      <w:r>
        <w:t xml:space="preserve">, for the sake of explaining and interpreting them in this way: This is my body, </w:t>
      </w:r>
      <w:r>
        <w:rPr>
          <w:i/>
        </w:rPr>
        <w:t>namely the spiritual and living bread and food that came down from heaven;</w:t>
      </w:r>
      <w:r>
        <w:t xml:space="preserve"> this is my blood, *namely the spiritual, life-giving, and heavenly drink.*</w:t>
      </w:r>
    </w:p>
    <w:p w14:paraId="4A90F874" w14:textId="77777777" w:rsidR="005C2B3E" w:rsidRDefault="00000000">
      <w:pPr>
        <w:ind w:firstLine="360"/>
      </w:pPr>
      <w:r>
        <w:t xml:space="preserve">He stirs up imputed righteousness in this way: </w:t>
      </w:r>
      <w:r>
        <w:rPr>
          <w:i/>
        </w:rPr>
        <w:t>Faith of this kind</w:t>
      </w:r>
      <w:r>
        <w:t xml:space="preserve">, he says, </w:t>
      </w:r>
      <w:r>
        <w:rPr>
          <w:i/>
        </w:rPr>
        <w:t>is mostly conceived by</w:t>
      </w:r>
      <w:r>
        <w:t xml:space="preserve"> οἰήσει </w:t>
      </w:r>
      <w:r>
        <w:rPr>
          <w:i/>
        </w:rPr>
        <w:t>and</w:t>
      </w:r>
      <w:r>
        <w:t xml:space="preserve"> δοκήσει, that is, </w:t>
      </w:r>
      <w:r>
        <w:rPr>
          <w:i/>
        </w:rPr>
        <w:t>by estimation and opinion, lacking substance, and imputed righteousness rests and stands on this, also having</w:t>
      </w:r>
      <w:r>
        <w:t xml:space="preserve"> (</w:t>
      </w:r>
      <w:r>
        <w:rPr>
          <w:i/>
        </w:rPr>
        <w:t>as must be feared</w:t>
      </w:r>
      <w:r>
        <w:t xml:space="preserve">) </w:t>
      </w:r>
      <w:r>
        <w:rPr>
          <w:i/>
        </w:rPr>
        <w:t>a supposed reward and an imaginary payment. And men lost in idleness, who call into question whether good works are needed by a Christian for salvation, what else do they do than plainly show that they lead themselves into a doubtful dispute against the clearer light of the Lord’s and apostolic oracles</w:t>
      </w:r>
      <w:r>
        <w:t xml:space="preserve"> (</w:t>
      </w:r>
      <w:r>
        <w:rPr>
          <w:i/>
        </w:rPr>
        <w:t>I omit the prophetic ones</w:t>
      </w:r>
      <w:r>
        <w:t xml:space="preserve">) </w:t>
      </w:r>
      <w:r>
        <w:rPr>
          <w:i/>
        </w:rPr>
        <w:t>and to doubt their truth?</w:t>
      </w:r>
      <w:r>
        <w:t xml:space="preserve"> These things are read in the same letter.</w:t>
      </w:r>
    </w:p>
    <w:p w14:paraId="36984D16" w14:textId="77777777" w:rsidR="005C2B3E" w:rsidRDefault="00000000">
      <w:pPr>
        <w:ind w:firstLine="360"/>
      </w:pPr>
      <w:r>
        <w:t xml:space="preserve">The story told by Langus about the rebellion that arose over the controversy of justification is memorable. </w:t>
      </w:r>
      <w:r>
        <w:rPr>
          <w:i/>
        </w:rPr>
        <w:t>In recent years there arose</w:t>
      </w:r>
      <w:r>
        <w:t>, he says, p. 12, *in a certain territory of Germany a scholastic dispute about the justification of man, which then turned into an open division so that almost all the clergy there separated from the prince. Nor could he satisfy his own people by any other means than by issuing a public edict, which was at first decreed by the very foundations of the holy Church, that justification should be taught according to the opinion of the apostle Paul. But he added to this constitution, and according to the doctrine of certain modern teachers, who were named by him and had not long before died. For, as I think, he could not satisfy them otherwise, as I have said. Nor do I doubt that this prince, endowed with prudence, by his own counsel, if it had been allowed by the persistence of seditious men, would have restored the ancient Fathers, Greek and Latin, instead of the new writers.*</w:t>
      </w:r>
    </w:p>
    <w:p w14:paraId="0BD221C2" w14:textId="77777777" w:rsidR="005C2B3E" w:rsidRDefault="00000000">
      <w:pPr>
        <w:ind w:firstLine="360"/>
      </w:pPr>
      <w:r>
        <w:lastRenderedPageBreak/>
        <w:t>In arranging the works of St</w:t>
      </w:r>
      <w:r>
        <w:fldChar w:fldCharType="begin"/>
      </w:r>
      <w:r>
        <w:instrText xml:space="preserve"> XE "St" \f "Persons"</w:instrText>
      </w:r>
      <w:r>
        <w:fldChar w:fldCharType="end"/>
      </w:r>
      <w:r>
        <w:t>. Justin</w:t>
      </w:r>
      <w:r>
        <w:fldChar w:fldCharType="begin"/>
      </w:r>
      <w:r>
        <w:instrText xml:space="preserve"> XE "Justin" \f "Persons"</w:instrText>
      </w:r>
      <w:r>
        <w:fldChar w:fldCharType="end"/>
      </w:r>
      <w:r>
        <w:t xml:space="preserve">, he followed the material and divided Justin into three volumes, of which the first contains </w:t>
      </w:r>
      <w:r>
        <w:rPr>
          <w:i/>
        </w:rPr>
        <w:t>The Exhortation, The Book on Monarchy</w:t>
      </w:r>
      <w:r>
        <w:t xml:space="preserve">, two </w:t>
      </w:r>
      <w:r>
        <w:rPr>
          <w:i/>
        </w:rPr>
        <w:t>Apologies</w:t>
      </w:r>
      <w:r>
        <w:t xml:space="preserve"> to which is added </w:t>
      </w:r>
      <w:r>
        <w:rPr>
          <w:i/>
        </w:rPr>
        <w:t>Athenagoras’ Embassy</w:t>
      </w:r>
      <w:r>
        <w:t xml:space="preserve">, finally </w:t>
      </w:r>
      <w:r>
        <w:rPr>
          <w:i/>
        </w:rPr>
        <w:t>The Refutation of Aristotle’s Doctrines</w:t>
      </w:r>
      <w:r>
        <w:t xml:space="preserve"> with an Appendix, as with Robert Estienne, and </w:t>
      </w:r>
      <w:r>
        <w:rPr>
          <w:i/>
        </w:rPr>
        <w:t>Questions of Christians to the Greeks</w:t>
      </w:r>
      <w:r>
        <w:t xml:space="preserve">. The second volume is filled by </w:t>
      </w:r>
      <w:r>
        <w:rPr>
          <w:i/>
        </w:rPr>
        <w:t>The Dialogue with Trypho</w:t>
      </w:r>
      <w:r>
        <w:t xml:space="preserve">, the third by </w:t>
      </w:r>
      <w:r>
        <w:rPr>
          <w:i/>
        </w:rPr>
        <w:t>The Explanation of the Faith, The Letter to Zenas and Serenus, Questions</w:t>
      </w:r>
      <w:r>
        <w:t xml:space="preserve"> and </w:t>
      </w:r>
      <w:r>
        <w:rPr>
          <w:i/>
        </w:rPr>
        <w:t>Answers to the Orthodox</w:t>
      </w:r>
      <w:r>
        <w:t xml:space="preserve"> with </w:t>
      </w:r>
      <w:r>
        <w:rPr>
          <w:i/>
        </w:rPr>
        <w:t>Questions of the Greeks to the Christians</w:t>
      </w:r>
      <w:r>
        <w:t>.</w:t>
      </w:r>
    </w:p>
    <w:p w14:paraId="1765BE03" w14:textId="77777777" w:rsidR="005C2B3E" w:rsidRDefault="00000000">
      <w:pPr>
        <w:ind w:firstLine="360"/>
      </w:pPr>
      <w:r>
        <w:t>Before these translators, Johannes Picus Mirandulanus</w:t>
      </w:r>
      <w:r>
        <w:fldChar w:fldCharType="begin"/>
      </w:r>
      <w:r>
        <w:instrText xml:space="preserve"> XE "Johannes Picus Mirandulanus" \f "Persons"</w:instrText>
      </w:r>
      <w:r>
        <w:fldChar w:fldCharType="end"/>
      </w:r>
      <w:r>
        <w:t xml:space="preserve"> had rendered </w:t>
      </w:r>
      <w:r>
        <w:rPr>
          <w:i/>
        </w:rPr>
        <w:t>The Exhortation to the Greeks</w:t>
      </w:r>
      <w:r>
        <w:t xml:space="preserve"> into Latin; this translation was published among his works at Strasbourg in the year 1507, and at Basel in 1528, in folio, in Johannes Sichard</w:t>
      </w:r>
      <w:r>
        <w:fldChar w:fldCharType="begin"/>
      </w:r>
      <w:r>
        <w:instrText xml:space="preserve"> XE "Johannes Sichard" \f "Persons"</w:instrText>
      </w:r>
      <w:r>
        <w:fldChar w:fldCharType="end"/>
      </w:r>
      <w:r>
        <w:t xml:space="preserve">’s </w:t>
      </w:r>
      <w:r>
        <w:rPr>
          <w:i/>
        </w:rPr>
        <w:t>Antidote against Heresies</w:t>
      </w:r>
      <w:r>
        <w:t xml:space="preserve">, and in </w:t>
      </w:r>
      <w:r>
        <w:rPr>
          <w:i/>
        </w:rPr>
        <w:t>Micropresbyter</w:t>
      </w:r>
      <w:r>
        <w:t xml:space="preserve"> 1550, and </w:t>
      </w:r>
      <w:r>
        <w:rPr>
          <w:i/>
        </w:rPr>
        <w:t>Orthodoxographer</w:t>
      </w:r>
      <w:r>
        <w:t xml:space="preserve"> 1551, 1569, and again among the works of Johannes Franciscus Picus</w:t>
      </w:r>
      <w:r>
        <w:fldChar w:fldCharType="begin"/>
      </w:r>
      <w:r>
        <w:instrText xml:space="preserve"> XE "Franciscus Picus" \f "Persons"</w:instrText>
      </w:r>
      <w:r>
        <w:fldChar w:fldCharType="end"/>
      </w:r>
      <w:r>
        <w:t xml:space="preserve"> at Basel in 1601, in folio; </w:t>
      </w:r>
      <w:r>
        <w:rPr>
          <w:i/>
        </w:rPr>
        <w:t>The Refutation of Aristotle’s Doctrines</w:t>
      </w:r>
      <w:r>
        <w:t xml:space="preserve"> was translated into Latin by Guillelmus Postellus, at Paris in the year 1552, in octavo.</w:t>
      </w:r>
    </w:p>
    <w:p w14:paraId="353724D9" w14:textId="77777777" w:rsidR="005C2B3E" w:rsidRDefault="00000000">
      <w:pPr>
        <w:ind w:firstLine="360"/>
      </w:pPr>
      <w:r>
        <w:t>There was also a Justin</w:t>
      </w:r>
      <w:r>
        <w:fldChar w:fldCharType="begin"/>
      </w:r>
      <w:r>
        <w:instrText xml:space="preserve"> XE "Justin" \f "Persons"</w:instrText>
      </w:r>
      <w:r>
        <w:fldChar w:fldCharType="end"/>
      </w:r>
      <w:r>
        <w:t xml:space="preserve"> who illustrated him in the French language. Johannes de Maumont translated all the works into French, published by Robert Estienne in the year 1554, and he dedicated this work, undertaken at the urging of Monluc, bishop of Valence, and printed by Michael Vascosan, to the cardinal of Lorraine. This translation was reprinted in the year 1559 by the same publisher. In the same language, </w:t>
      </w:r>
      <w:r>
        <w:rPr>
          <w:i/>
        </w:rPr>
        <w:t>The Exhortation to the Greeks</w:t>
      </w:r>
      <w:r>
        <w:t xml:space="preserve"> was translated by Martin Dupin in Paris in 1580; the greater </w:t>
      </w:r>
      <w:r>
        <w:rPr>
          <w:i/>
        </w:rPr>
        <w:t>Apology</w:t>
      </w:r>
      <w:r>
        <w:t xml:space="preserve"> by Chanut in 1670; and </w:t>
      </w:r>
      <w:r>
        <w:rPr>
          <w:i/>
        </w:rPr>
        <w:t>The Letter to Diognetus</w:t>
      </w:r>
      <w:r>
        <w:t xml:space="preserve"> by P. le Gras, a priest of the Oratory, in Paris in 1725. When Chanut had concealed himself under the name of Peter Fondet, this translation was reprinted again in 1686, under the true name of the translator. Caspar Hedio illustrated </w:t>
      </w:r>
      <w:r>
        <w:rPr>
          <w:i/>
        </w:rPr>
        <w:t>The Exhortation to the Greeks</w:t>
      </w:r>
      <w:r>
        <w:t xml:space="preserve"> in German in 1530, together with the </w:t>
      </w:r>
      <w:r>
        <w:rPr>
          <w:i/>
        </w:rPr>
        <w:t>Ecclesiastical History</w:t>
      </w:r>
      <w:r>
        <w:t xml:space="preserve"> of Eusebius, Socrates, etc, at Strasbourg in folio; the </w:t>
      </w:r>
      <w:r>
        <w:rPr>
          <w:i/>
        </w:rPr>
        <w:t>Apologies</w:t>
      </w:r>
      <w:r>
        <w:t xml:space="preserve"> of Justin, Tertullian, and Minucius Felix</w:t>
      </w:r>
      <w:r>
        <w:fldChar w:fldCharType="begin"/>
      </w:r>
      <w:r>
        <w:instrText xml:space="preserve"> XE "Felix" \f "Persons"</w:instrText>
      </w:r>
      <w:r>
        <w:fldChar w:fldCharType="end"/>
      </w:r>
      <w:r>
        <w:t xml:space="preserve"> for the Christian religion, and Vincent of Lirin</w:t>
      </w:r>
      <w:r>
        <w:fldChar w:fldCharType="begin"/>
      </w:r>
      <w:r>
        <w:instrText xml:space="preserve"> XE "Vincent of Lirin" \f "Persons"</w:instrText>
      </w:r>
      <w:r>
        <w:fldChar w:fldCharType="end"/>
      </w:r>
      <w:r>
        <w:t xml:space="preserve">’s </w:t>
      </w:r>
      <w:r>
        <w:rPr>
          <w:i/>
        </w:rPr>
        <w:t>Commonitorium</w:t>
      </w:r>
      <w:r>
        <w:t>, were recently translated into English and illustrated with prolegomena and notes by D. Reeves, London 1710, octavo, 2 volumes.</w:t>
      </w:r>
    </w:p>
    <w:p w14:paraId="1F8D75AC" w14:textId="77777777" w:rsidR="005C2B3E" w:rsidRDefault="00000000">
      <w:pPr>
        <w:pStyle w:val="Heading3"/>
      </w:pPr>
      <w:r>
        <w:t>CHAPTER 2</w:t>
      </w:r>
    </w:p>
    <w:p w14:paraId="10E7FCFD" w14:textId="77777777" w:rsidR="005C2B3E" w:rsidRDefault="00000000">
      <w:pPr>
        <w:pStyle w:val="Heading4"/>
      </w:pPr>
      <w:r>
        <w:t>ON THE GREEK-LATIN EDITIONS OF ST. JUSTIN’S WORKS</w:t>
      </w:r>
    </w:p>
    <w:p w14:paraId="2EE11D8C" w14:textId="77777777" w:rsidR="005C2B3E" w:rsidRDefault="00000000">
      <w:r>
        <w:t>Frederick Sylburg published the works of Justin</w:t>
      </w:r>
      <w:r>
        <w:fldChar w:fldCharType="begin"/>
      </w:r>
      <w:r>
        <w:instrText xml:space="preserve"> XE "Justin" \f "Persons"</w:instrText>
      </w:r>
      <w:r>
        <w:fldChar w:fldCharType="end"/>
      </w:r>
      <w:r>
        <w:t xml:space="preserve"> in Greek and Latin, with the translation of Johannes Lang, in the year 1693, at Heidelberg by Commelin, adding two works published in 1592 by Henri Estienne, </w:t>
      </w:r>
      <w:r>
        <w:rPr>
          <w:i/>
        </w:rPr>
        <w:t>Oration to the Greeks</w:t>
      </w:r>
      <w:r>
        <w:t xml:space="preserve"> and </w:t>
      </w:r>
      <w:r>
        <w:rPr>
          <w:i/>
        </w:rPr>
        <w:t>Letter to Diognetus</w:t>
      </w:r>
      <w:r>
        <w:t>. Sylburg added honor and value to this edition with copious indexes and various notes, which he included either under his own name, or received from Jo. Arcerius, David Höschel, Hieronymus Wolf, or taken from Billius</w:t>
      </w:r>
      <w:r>
        <w:fldChar w:fldCharType="begin"/>
      </w:r>
      <w:r>
        <w:instrText xml:space="preserve"> XE "Billius" \f "Persons"</w:instrText>
      </w:r>
      <w:r>
        <w:fldChar w:fldCharType="end"/>
      </w:r>
      <w:r>
        <w:t xml:space="preserve">’s </w:t>
      </w:r>
      <w:r>
        <w:rPr>
          <w:i/>
        </w:rPr>
        <w:t xml:space="preserve">Sacred </w:t>
      </w:r>
      <w:r>
        <w:rPr>
          <w:i/>
        </w:rPr>
        <w:lastRenderedPageBreak/>
        <w:t>Observations</w:t>
      </w:r>
      <w:r>
        <w:t>. This edition was reprinted once and again in Paris in the years 1615 and 1636, including in the same volume Athenagoras</w:t>
      </w:r>
      <w:r>
        <w:fldChar w:fldCharType="begin"/>
      </w:r>
      <w:r>
        <w:instrText xml:space="preserve"> XE "Athenagoras" \f "Persons"</w:instrText>
      </w:r>
      <w:r>
        <w:fldChar w:fldCharType="end"/>
      </w:r>
      <w:r>
        <w:t>, Theophilus</w:t>
      </w:r>
      <w:r>
        <w:fldChar w:fldCharType="begin"/>
      </w:r>
      <w:r>
        <w:instrText xml:space="preserve"> XE "Theophilus" \f "Persons"</w:instrText>
      </w:r>
      <w:r>
        <w:fldChar w:fldCharType="end"/>
      </w:r>
      <w:r>
        <w:t xml:space="preserve"> of Antioch, Tatian</w:t>
      </w:r>
      <w:r>
        <w:fldChar w:fldCharType="begin"/>
      </w:r>
      <w:r>
        <w:instrText xml:space="preserve"> XE "Tatian" \f "Persons"</w:instrText>
      </w:r>
      <w:r>
        <w:fldChar w:fldCharType="end"/>
      </w:r>
      <w:r>
        <w:t>, and Hermias</w:t>
      </w:r>
      <w:r>
        <w:fldChar w:fldCharType="begin"/>
      </w:r>
      <w:r>
        <w:instrText xml:space="preserve"> XE "Hermias" \f "Persons"</w:instrText>
      </w:r>
      <w:r>
        <w:fldChar w:fldCharType="end"/>
      </w:r>
      <w:r>
        <w:t>, as well as Lansselius the Jesuit’s dissertation against Casaubon on Baronius</w:t>
      </w:r>
      <w:r>
        <w:fldChar w:fldCharType="begin"/>
      </w:r>
      <w:r>
        <w:instrText xml:space="preserve"> XE "Baronius" \f "Persons"</w:instrText>
      </w:r>
      <w:r>
        <w:fldChar w:fldCharType="end"/>
      </w:r>
      <w:r>
        <w:t xml:space="preserve">’s </w:t>
      </w:r>
      <w:r>
        <w:rPr>
          <w:i/>
        </w:rPr>
        <w:t>Annotations</w:t>
      </w:r>
      <w:r>
        <w:t xml:space="preserve">, appended to Justin’s works. The Cologne or Wittenberg edition of the year 1686, besides what is contained in the Paris editions, has the </w:t>
      </w:r>
      <w:r>
        <w:rPr>
          <w:i/>
        </w:rPr>
        <w:t>Commentaries</w:t>
      </w:r>
      <w:r>
        <w:t xml:space="preserve"> of Christian Kortholt on Baronius, Athenagoras, Theophilus, and Tatian.</w:t>
      </w:r>
    </w:p>
    <w:p w14:paraId="0D376113" w14:textId="77777777" w:rsidR="005C2B3E" w:rsidRDefault="00000000">
      <w:pPr>
        <w:ind w:firstLine="360"/>
      </w:pPr>
      <w:r>
        <w:t>The learned English did not fail to seem to have contributed much effort and study to illustrating Justin</w:t>
      </w:r>
      <w:r>
        <w:fldChar w:fldCharType="begin"/>
      </w:r>
      <w:r>
        <w:instrText xml:space="preserve"> XE "Justin" \f "Persons"</w:instrText>
      </w:r>
      <w:r>
        <w:fldChar w:fldCharType="end"/>
      </w:r>
      <w:r>
        <w:t xml:space="preserve">. </w:t>
      </w:r>
      <w:r>
        <w:rPr>
          <w:i/>
        </w:rPr>
        <w:t>Most recently</w:t>
      </w:r>
      <w:r>
        <w:t>, says Fabricius, vol. V, p. 61, *the learned man Thomas Creech, to whom Lucretius</w:t>
      </w:r>
      <w:r>
        <w:fldChar w:fldCharType="begin"/>
      </w:r>
      <w:r>
        <w:instrText xml:space="preserve"> XE "Lucretius" \f "Persons"</w:instrText>
      </w:r>
      <w:r>
        <w:fldChar w:fldCharType="end"/>
      </w:r>
      <w:r>
        <w:t xml:space="preserve"> owes much, lent a hand to a new edition of Justin at Oxford. But soon he himself, the author of his own lamentable fate, wished even those things he had intended to be abolished.*</w:t>
      </w:r>
    </w:p>
    <w:p w14:paraId="2093C7E2" w14:textId="77777777" w:rsidR="005C2B3E" w:rsidRDefault="00000000">
      <w:pPr>
        <w:ind w:firstLine="360"/>
      </w:pPr>
      <w:r>
        <w:t xml:space="preserve">John Ernest Grabe published at Oxford in the year 1700 a larger </w:t>
      </w:r>
      <w:r>
        <w:rPr>
          <w:i/>
        </w:rPr>
        <w:t>Apology</w:t>
      </w:r>
      <w:r>
        <w:t xml:space="preserve"> in octavo, </w:t>
      </w:r>
      <w:r>
        <w:rPr>
          <w:i/>
        </w:rPr>
        <w:t>with the Latin version of Johannes Lang, corrected in very many places, with added emendations and notes from various authors, and many new ones added, also appended at the end with the notes of Lang and Kortholt, and with Lang’s preface placed first, in which he explained the summary of this Apology.</w:t>
      </w:r>
      <w:r>
        <w:t xml:space="preserve"> The same city and in the same manner saw the publication in the year 1703 of </w:t>
      </w:r>
      <w:r>
        <w:rPr>
          <w:i/>
        </w:rPr>
        <w:t>both Orations against the Greeks</w:t>
      </w:r>
      <w:r>
        <w:t xml:space="preserve">, with the </w:t>
      </w:r>
      <w:r>
        <w:rPr>
          <w:i/>
        </w:rPr>
        <w:t>Book on Monarchy</w:t>
      </w:r>
      <w:r>
        <w:t xml:space="preserve"> and the smaller </w:t>
      </w:r>
      <w:r>
        <w:rPr>
          <w:i/>
        </w:rPr>
        <w:t>Apology</w:t>
      </w:r>
      <w:r>
        <w:t xml:space="preserve">, with notes by Robert and Henri Estienne, Grabe, and others. Lang’s and Kortholt’s notes were appended at the end. The praise for this work is due to H. Hutchin. Since the </w:t>
      </w:r>
      <w:r>
        <w:rPr>
          <w:i/>
        </w:rPr>
        <w:t>Dialogue</w:t>
      </w:r>
      <w:r>
        <w:t xml:space="preserve"> remained, Samuel Jebb applied himself to illustrating it in the same way and method as Grabe and Hutchin did in the aforementioned works, except that he added very few notes, almost always taken from Sylburgius. The work was published likewise in octavo at London in the year 1719.</w:t>
      </w:r>
    </w:p>
    <w:p w14:paraId="6067E27F" w14:textId="77777777" w:rsidR="005C2B3E" w:rsidRDefault="00000000">
      <w:pPr>
        <w:ind w:firstLine="360"/>
      </w:pPr>
      <w:r>
        <w:t xml:space="preserve">Published in London in Greek and Latin in the year 1722 were </w:t>
      </w:r>
      <w:r>
        <w:rPr>
          <w:i/>
        </w:rPr>
        <w:t>Two Apologies of Justin the Philosopher and Martyr and the Dialogue with Trypho the Jew, with notes and corrections by Styan Thirlby</w:t>
      </w:r>
      <w:r>
        <w:t xml:space="preserve">. The learned man’s observations deal with explaining antiquity, correcting the text in context, and also comparing Scripture passages with editions of the Bible and the Fathers. Regarding the notable passage about angels, which we will discuss in the second part of the preface, he warns that </w:t>
      </w:r>
      <w:r>
        <w:rPr>
          <w:i/>
        </w:rPr>
        <w:t>it has been decided in this work not to touch on theological controversies</w:t>
      </w:r>
      <w:r>
        <w:t>. Nowhere does he seem to depart from this rule.</w:t>
      </w:r>
    </w:p>
    <w:p w14:paraId="0C690139" w14:textId="77777777" w:rsidR="005C2B3E" w:rsidRDefault="00000000">
      <w:pPr>
        <w:ind w:firstLine="360"/>
      </w:pPr>
      <w:r>
        <w:t xml:space="preserve">I have no doubt that the man, excellently trained in Greek and Latin letters, would have deserved praise and approval if he had prepared a new translation; but why he fled from this work, he explains by these reasons. </w:t>
      </w:r>
      <w:r>
        <w:rPr>
          <w:i/>
        </w:rPr>
        <w:t>“So far was I,”</w:t>
      </w:r>
      <w:r>
        <w:t xml:space="preserve"> he says, *“from thinking that I should make a new version, that nothing was done closer to making none at all: for I am the chief enemy of all translations from Greek into Latin, and from either into the vernaculars, to which, if I am not mistaken, we owe this incredible scarcity of learned men, and especially the multitude of half-learned and superficial </w:t>
      </w:r>
      <w:r>
        <w:lastRenderedPageBreak/>
        <w:t>ones, and I have always thought that this ridiculous custom of adding Latin translations to Greek books has been the stain and ruin of Greek letters. I followed the bookseller’s plan of brevity, to which I also granted that at least the translation should not be sent to the end of the book.”*</w:t>
      </w:r>
    </w:p>
    <w:p w14:paraId="3360AE71" w14:textId="77777777" w:rsidR="005C2B3E" w:rsidRDefault="00000000">
      <w:pPr>
        <w:ind w:firstLine="360"/>
      </w:pPr>
      <w:r>
        <w:t xml:space="preserve">It is worth learning from him himself how he proceeded in correcting Lang’s version. </w:t>
      </w:r>
      <w:r>
        <w:rPr>
          <w:i/>
        </w:rPr>
        <w:t>In correcting</w:t>
      </w:r>
      <w:r>
        <w:t xml:space="preserve"> the Lang version, he says, *I took no account of the rules of Latin style, since nothing could be corrected except a single slip; nor did I weigh the meaning with my own judgment, which would have been no less work, perhaps even more, than making a new version, but rather I examined it with a certain common balance, lightly and carelessly, as one unwilling and humble, barely enduring the task.*</w:t>
      </w:r>
    </w:p>
    <w:p w14:paraId="1F10EA83" w14:textId="77777777" w:rsidR="005C2B3E" w:rsidRDefault="00000000">
      <w:pPr>
        <w:ind w:firstLine="360"/>
      </w:pPr>
      <w:r>
        <w:t xml:space="preserve">At the end are some notes by Pearson taken from the royal library at Cambridge, which the learned editor does not value highly. These are followed by Davis’s notes on </w:t>
      </w:r>
      <w:r>
        <w:rPr>
          <w:i/>
        </w:rPr>
        <w:t>Apology</w:t>
      </w:r>
      <w:r>
        <w:t xml:space="preserve"> 1, which this very learned man kindly sent and Cl. Thirlby has published for the public, so that they might be a monument both of his grateful spirit and of Davis’s learning. The indexes of topics and words are owed to Sylburgius</w:t>
      </w:r>
      <w:r>
        <w:fldChar w:fldCharType="begin"/>
      </w:r>
      <w:r>
        <w:instrText xml:space="preserve"> XE "Sylburgius" \f "Persons"</w:instrText>
      </w:r>
      <w:r>
        <w:fldChar w:fldCharType="end"/>
      </w:r>
      <w:r>
        <w:t xml:space="preserve">. In the dedicatory letter, addressed to </w:t>
      </w:r>
      <w:r>
        <w:rPr>
          <w:i/>
        </w:rPr>
        <w:t>the most noble William, Lord Craven</w:t>
      </w:r>
      <w:r>
        <w:t>, which takes the place and form of a preface, the learned editor takes up the defense of reading the holy Fathers, discusses the usefulness and difficulty of criticism, then offers his judgment on Justin, and finally explains the plan of his work.</w:t>
      </w:r>
    </w:p>
    <w:p w14:paraId="670165AD" w14:textId="77777777" w:rsidR="005C2B3E" w:rsidRDefault="00000000">
      <w:pPr>
        <w:ind w:firstLine="360"/>
      </w:pPr>
      <w:r>
        <w:t xml:space="preserve">He does not gently tease those who are deaf to the ancient Fathers. </w:t>
      </w:r>
      <w:r>
        <w:rPr>
          <w:i/>
        </w:rPr>
        <w:t>There is</w:t>
      </w:r>
      <w:r>
        <w:t xml:space="preserve">, he says, </w:t>
      </w:r>
      <w:r>
        <w:rPr>
          <w:i/>
        </w:rPr>
        <w:t>another kind of people who, although I do not usually argue with the unlearned, still need to be corrected briefly. If these men do not know theology, they know nothing, and they seem to devote themselves earnestly to that study; yet they consider the ancient Fathers unworthy of their reading, whether out of arrogance or because they truly believe what they say. Clearly, good theologians insist that Scripture alone must be relied on, and that it contains both whatever we need to know and whatever is necessary for understanding it. Those who think otherwise insult the writer of Scripture in a terrible way, and so the Fathers can be of no use, nor can antiquity have any authority, nor should the oldest interpreters of Scripture be preferred to the newest. What they say about the clarity of Scripture is first extremely dangerous and absurd; then, by this charge, they foolishly accuse their opponents, even impiously. It is absurd to try to prove that what everyone agrees is not clear is clear to everyone. It is impious to say that because something is not obvious, God either did not make it or did not sufficiently care for human affairs.</w:t>
      </w:r>
      <w:r>
        <w:t xml:space="preserve"> No one who loves the truth will like this absurd judgment about people above reason.</w:t>
      </w:r>
    </w:p>
    <w:p w14:paraId="3BA67FA1" w14:textId="77777777" w:rsidR="005C2B3E" w:rsidRDefault="00000000">
      <w:pPr>
        <w:ind w:firstLine="360"/>
      </w:pPr>
      <w:r>
        <w:t xml:space="preserve">He shows how hard and difficult criticism is, among other reasons, in this way. </w:t>
      </w:r>
      <w:r>
        <w:rPr>
          <w:i/>
        </w:rPr>
        <w:t>For what else</w:t>
      </w:r>
      <w:r>
        <w:t xml:space="preserve">, he says, </w:t>
      </w:r>
      <w:r>
        <w:rPr>
          <w:i/>
        </w:rPr>
        <w:t xml:space="preserve">can be the cause why, among so many corrected texts, not only among us and other northern peoples, whom the harsh sun, the true Phoebus, under </w:t>
      </w:r>
      <w:r>
        <w:rPr>
          <w:i/>
        </w:rPr>
        <w:lastRenderedPageBreak/>
        <w:t>whose heat minds grow warm, does not look upon from afar, but also among those lively and clever Gauls, and among all the Muses’ people, either common or nearby, the Italians, men of divine skill, hardly three or four in each age have managed the task successfully, except some incredible greatness and difficulty of the matter?</w:t>
      </w:r>
      <w:r>
        <w:t xml:space="preserve"> These things are not reported by me to praise those who do not fear to speak about their own people, nor to show off what he honorably said about the Gauls, but so that anyone may see from these how honest and sincere the learned man’s freedom is both in thinking and in what he thinks in speaking.</w:t>
      </w:r>
    </w:p>
    <w:p w14:paraId="7D7B1EE6" w14:textId="77777777" w:rsidR="005C2B3E" w:rsidRDefault="00000000">
      <w:pPr>
        <w:pStyle w:val="Heading3"/>
      </w:pPr>
      <w:r>
        <w:t>CHAPTER 3</w:t>
      </w:r>
    </w:p>
    <w:p w14:paraId="775D4E78" w14:textId="77777777" w:rsidR="005C2B3E" w:rsidRDefault="00000000">
      <w:pPr>
        <w:pStyle w:val="Heading4"/>
      </w:pPr>
      <w:r>
        <w:t>ON THE VARIOUS EDITIONS OF TATIAN, ATHENAGORAS, THEOPHILUS, AND HERMIAS</w:t>
      </w:r>
    </w:p>
    <w:p w14:paraId="5198479B" w14:textId="77777777" w:rsidR="005C2B3E" w:rsidRDefault="00000000">
      <w:r>
        <w:t>First of all, the editions of Tatian</w:t>
      </w:r>
      <w:r>
        <w:fldChar w:fldCharType="begin"/>
      </w:r>
      <w:r>
        <w:instrText xml:space="preserve"> XE "Tatian" \f "Persons"</w:instrText>
      </w:r>
      <w:r>
        <w:fldChar w:fldCharType="end"/>
      </w:r>
      <w:r>
        <w:t xml:space="preserve">’s </w:t>
      </w:r>
      <w:r>
        <w:rPr>
          <w:i/>
        </w:rPr>
        <w:t>Oration</w:t>
      </w:r>
      <w:r>
        <w:t xml:space="preserve"> are owed to Johannes Frisius</w:t>
      </w:r>
      <w:r>
        <w:fldChar w:fldCharType="begin"/>
      </w:r>
      <w:r>
        <w:instrText xml:space="preserve"> XE "Frisius" \f "Persons"</w:instrText>
      </w:r>
      <w:r>
        <w:fldChar w:fldCharType="end"/>
      </w:r>
      <w:r>
        <w:fldChar w:fldCharType="begin"/>
      </w:r>
      <w:r>
        <w:instrText xml:space="preserve"> XE "Johannes Frisius" \f "Persons"</w:instrText>
      </w:r>
      <w:r>
        <w:fldChar w:fldCharType="end"/>
      </w:r>
      <w:r>
        <w:t xml:space="preserve">, who, having received a manuscript copy of this </w:t>
      </w:r>
      <w:r>
        <w:rPr>
          <w:i/>
        </w:rPr>
        <w:t>Oration</w:t>
      </w:r>
      <w:r>
        <w:t>, sprinkled with various readings from another codex, at Venice from Arnold Arlenius Paraxylus</w:t>
      </w:r>
      <w:r>
        <w:fldChar w:fldCharType="begin"/>
      </w:r>
      <w:r>
        <w:instrText xml:space="preserve"> XE "Arnold Arlenius Paraxylus" \f "Persons"</w:instrText>
      </w:r>
      <w:r>
        <w:fldChar w:fldCharType="end"/>
      </w:r>
      <w:r>
        <w:t xml:space="preserve">, relying on this support, published Tatian’s </w:t>
      </w:r>
      <w:r>
        <w:rPr>
          <w:i/>
        </w:rPr>
        <w:t>Oration</w:t>
      </w:r>
      <w:r>
        <w:t xml:space="preserve"> in Greek at Zurich in folio in the year 1546, at Froschover’s, together with the opinions of Antonius Melissa</w:t>
      </w:r>
      <w:r>
        <w:fldChar w:fldCharType="begin"/>
      </w:r>
      <w:r>
        <w:instrText xml:space="preserve"> XE "Antonius Melissa" \f "Persons"</w:instrText>
      </w:r>
      <w:r>
        <w:fldChar w:fldCharType="end"/>
      </w:r>
      <w:r>
        <w:t xml:space="preserve"> and Maximus</w:t>
      </w:r>
      <w:r>
        <w:fldChar w:fldCharType="begin"/>
      </w:r>
      <w:r>
        <w:instrText xml:space="preserve"> XE "Maximus" \f "Persons"</w:instrText>
      </w:r>
      <w:r>
        <w:fldChar w:fldCharType="end"/>
      </w:r>
      <w:r>
        <w:t xml:space="preserve"> and Theophilus</w:t>
      </w:r>
      <w:r>
        <w:fldChar w:fldCharType="begin"/>
      </w:r>
      <w:r>
        <w:instrText xml:space="preserve"> XE "Theophilus" \f "Persons"</w:instrText>
      </w:r>
      <w:r>
        <w:fldChar w:fldCharType="end"/>
      </w:r>
      <w:r>
        <w:t xml:space="preserve"> to Autolycus</w:t>
      </w:r>
      <w:r>
        <w:fldChar w:fldCharType="begin"/>
      </w:r>
      <w:r>
        <w:instrText xml:space="preserve"> XE "Autolycus" \f "Persons"</w:instrText>
      </w:r>
      <w:r>
        <w:fldChar w:fldCharType="end"/>
      </w:r>
      <w:r>
        <w:t>. Alongside this edition are read not only those various readings I mentioned but also some brief notes by Conrad</w:t>
      </w:r>
      <w:r>
        <w:fldChar w:fldCharType="begin"/>
      </w:r>
      <w:r>
        <w:instrText xml:space="preserve"> XE "Conrad" \f "Persons"</w:instrText>
      </w:r>
      <w:r>
        <w:fldChar w:fldCharType="end"/>
      </w:r>
      <w:r>
        <w:t xml:space="preserve"> Gesner, with whom Frisius had shared his codex. In the same year and city, Conrad Gesner published in folio a Latin version of Tatian with lengthy notes on the interpretation, which was later often reprinted in the </w:t>
      </w:r>
      <w:r>
        <w:rPr>
          <w:i/>
        </w:rPr>
        <w:t>Bibliotheca Patrum</w:t>
      </w:r>
      <w:r>
        <w:t>, Paris, in the years 1575, 1589, 1610; Cologne 1618; Lyon 1677.</w:t>
      </w:r>
    </w:p>
    <w:p w14:paraId="59FFE271" w14:textId="77777777" w:rsidR="005C2B3E" w:rsidRDefault="00000000">
      <w:pPr>
        <w:ind w:firstLine="360"/>
      </w:pPr>
      <w:r>
        <w:t>Tatian</w:t>
      </w:r>
      <w:r>
        <w:fldChar w:fldCharType="begin"/>
      </w:r>
      <w:r>
        <w:instrText xml:space="preserve"> XE "Tatian" \f "Persons"</w:instrText>
      </w:r>
      <w:r>
        <w:fldChar w:fldCharType="end"/>
      </w:r>
      <w:r>
        <w:t xml:space="preserve"> appeared in Greek and Latin at Basel among the </w:t>
      </w:r>
      <w:r>
        <w:rPr>
          <w:i/>
        </w:rPr>
        <w:t>Orthodoxographers</w:t>
      </w:r>
      <w:r>
        <w:t xml:space="preserve"> in the year 1555 and in Paris in the </w:t>
      </w:r>
      <w:r>
        <w:rPr>
          <w:i/>
        </w:rPr>
        <w:t>Auctarium</w:t>
      </w:r>
      <w:r>
        <w:t xml:space="preserve"> of the </w:t>
      </w:r>
      <w:r>
        <w:rPr>
          <w:i/>
        </w:rPr>
        <w:t>Bibliotheca Patrum</w:t>
      </w:r>
      <w:r>
        <w:t xml:space="preserve"> in the year 1624, with the notes of Ducaeus, and later after the works of Justin the martyr</w:t>
      </w:r>
      <w:r>
        <w:fldChar w:fldCharType="begin"/>
      </w:r>
      <w:r>
        <w:instrText xml:space="preserve"> XE "Justin the martyr" \f "Persons"</w:instrText>
      </w:r>
      <w:r>
        <w:fldChar w:fldCharType="end"/>
      </w:r>
      <w:r>
        <w:t xml:space="preserve"> in editions at Paris in the years 1615 and 1636, and at Cologne or rather Wittenberg in the year 1686, to which Kortholt’s notes were added in the last edition.</w:t>
      </w:r>
    </w:p>
    <w:p w14:paraId="489F00C9" w14:textId="77777777" w:rsidR="005C2B3E" w:rsidRDefault="00000000">
      <w:pPr>
        <w:ind w:firstLine="360"/>
      </w:pPr>
      <w:r>
        <w:t>But the Oxford edition in octavo of the year 1700 surpasses all these editions in diligence and learning, which we owe to William Worth, archdeacon of Worcester. He corrected Conrad Gesner’s translation in some places, divided the work into certain chapters, added his own notes to those of others, and arranged various readings taken from three manuscripts between the text and the notes in order.</w:t>
      </w:r>
    </w:p>
    <w:p w14:paraId="16EE02E7" w14:textId="77777777" w:rsidR="005C2B3E" w:rsidRDefault="00000000">
      <w:pPr>
        <w:ind w:firstLine="360"/>
      </w:pPr>
      <w:r>
        <w:t xml:space="preserve">At the end are added the observations of George Bull on the divinity of Christ, the notes of Kortholt, and the dissertation of Lord Nicolas le Nourri, a Benedictine monk. Following this is the little work of Hermias, which Worth considered should be joined with Tatian; then come the indexes and finally the learned dissertation of the very famous abbot de Longuerue, which Worth received from Peter Hallix after the work </w:t>
      </w:r>
      <w:r>
        <w:lastRenderedPageBreak/>
        <w:t>was completed, on the condition that the learned author of the dissertation be kept secret.</w:t>
      </w:r>
    </w:p>
    <w:p w14:paraId="43F21044" w14:textId="77777777" w:rsidR="005C2B3E" w:rsidRDefault="00000000">
      <w:pPr>
        <w:ind w:firstLine="360"/>
      </w:pPr>
      <w:r>
        <w:t xml:space="preserve">In the dedicatory letter, which bears the name of William, bishop of Worcester and royal almoner, the learned editor declares that the occasion and reason for undertaking this work had arisen </w:t>
      </w:r>
      <w:r>
        <w:rPr>
          <w:i/>
        </w:rPr>
        <w:t>because, not long before, controversies about the highest articles of faith were raging in England, and he saw all the devices of atheism turned to this, so that under the guise of cultivating natural religion, the way to paganism was being cleared;</w:t>
      </w:r>
      <w:r>
        <w:t xml:space="preserve"> he hoped that Tatian’s </w:t>
      </w:r>
      <w:r>
        <w:rPr>
          <w:i/>
        </w:rPr>
        <w:t>Oration</w:t>
      </w:r>
      <w:r>
        <w:t xml:space="preserve"> would be useful to check the progress of impiety, since it clearly shows that *all this natural religion which we speak of is a poor thing, and very little able to cultivate the mind and shape morals, unless the light of the Christian law is added besides.*</w:t>
      </w:r>
    </w:p>
    <w:p w14:paraId="3866CAF5" w14:textId="77777777" w:rsidR="005C2B3E" w:rsidRDefault="00000000">
      <w:pPr>
        <w:ind w:firstLine="360"/>
      </w:pPr>
      <w:r>
        <w:t>Athenagoras</w:t>
      </w:r>
      <w:r>
        <w:fldChar w:fldCharType="begin"/>
      </w:r>
      <w:r>
        <w:instrText xml:space="preserve"> XE "Athenagoras" \f "Persons"</w:instrText>
      </w:r>
      <w:r>
        <w:fldChar w:fldCharType="end"/>
      </w:r>
      <w:r>
        <w:t xml:space="preserve">’ </w:t>
      </w:r>
      <w:r>
        <w:rPr>
          <w:i/>
        </w:rPr>
        <w:t>Book on the Resurrection of the Dead</w:t>
      </w:r>
      <w:r>
        <w:t xml:space="preserve"> was published before the </w:t>
      </w:r>
      <w:r>
        <w:rPr>
          <w:i/>
        </w:rPr>
        <w:t>Legation</w:t>
      </w:r>
      <w:r>
        <w:t xml:space="preserve"> or </w:t>
      </w:r>
      <w:r>
        <w:rPr>
          <w:i/>
        </w:rPr>
        <w:t>Apology</w:t>
      </w:r>
      <w:r>
        <w:t>. This was translated into Latin by George Valla, whose translation was printed in Venice in folio along with other works of various authors in the year 1498. Marsilio</w:t>
      </w:r>
      <w:r>
        <w:fldChar w:fldCharType="begin"/>
      </w:r>
      <w:r>
        <w:instrText xml:space="preserve"> XE "Marsilio" \f "Persons"</w:instrText>
      </w:r>
      <w:r>
        <w:fldChar w:fldCharType="end"/>
      </w:r>
      <w:r>
        <w:t xml:space="preserve"> Ficino also translated many parts of this book, which are read in the second volume of his works. The same work was illustrated in Latin letters by Peter Nannius, and first published in Greek with his translation in Paris and Leuven in 1541 in quarto. This Greek-Latin edition was reprinted in Basel in folio in 1550 in the </w:t>
      </w:r>
      <w:r>
        <w:rPr>
          <w:i/>
        </w:rPr>
        <w:t>Micropresbyter</w:t>
      </w:r>
      <w:r>
        <w:t xml:space="preserve">, and among the </w:t>
      </w:r>
      <w:r>
        <w:rPr>
          <w:i/>
        </w:rPr>
        <w:t>Orthodoxographers</w:t>
      </w:r>
      <w:r>
        <w:t xml:space="preserve"> in 1555 in folio. The same work is also given in Latin only from Nannius’ translation after the works of Philo</w:t>
      </w:r>
      <w:r>
        <w:fldChar w:fldCharType="begin"/>
      </w:r>
      <w:r>
        <w:instrText xml:space="preserve"> XE "Philo" \f "Persons"</w:instrText>
      </w:r>
      <w:r>
        <w:fldChar w:fldCharType="end"/>
      </w:r>
      <w:r>
        <w:t xml:space="preserve"> the Jew, translated into Latin by Gelanius in Basel in 1552 in octavo.</w:t>
      </w:r>
    </w:p>
    <w:p w14:paraId="5A84F311" w14:textId="77777777" w:rsidR="005C2B3E" w:rsidRDefault="00000000">
      <w:pPr>
        <w:ind w:firstLine="360"/>
      </w:pPr>
      <w:r>
        <w:t xml:space="preserve">In the </w:t>
      </w:r>
      <w:r>
        <w:rPr>
          <w:i/>
        </w:rPr>
        <w:t>Legation</w:t>
      </w:r>
      <w:r>
        <w:t xml:space="preserve"> or </w:t>
      </w:r>
      <w:r>
        <w:rPr>
          <w:i/>
        </w:rPr>
        <w:t>Apology</w:t>
      </w:r>
      <w:r>
        <w:t>, three translators worked: Conrad Gesner, who published this work in Greek and Latin with notes in octavo at Zurich in 1557 and Basel in 1558; John Lang, who included Athenagoras</w:t>
      </w:r>
      <w:r>
        <w:fldChar w:fldCharType="begin"/>
      </w:r>
      <w:r>
        <w:instrText xml:space="preserve"> XE "Athenagoras" \f "Persons"</w:instrText>
      </w:r>
      <w:r>
        <w:fldChar w:fldCharType="end"/>
      </w:r>
      <w:r>
        <w:t xml:space="preserve">’ </w:t>
      </w:r>
      <w:r>
        <w:rPr>
          <w:i/>
        </w:rPr>
        <w:t>Apology</w:t>
      </w:r>
      <w:r>
        <w:t xml:space="preserve"> among the Latin works of Justin</w:t>
      </w:r>
      <w:r>
        <w:fldChar w:fldCharType="begin"/>
      </w:r>
      <w:r>
        <w:instrText xml:space="preserve"> XE "Justin" \f "Persons"</w:instrText>
      </w:r>
      <w:r>
        <w:fldChar w:fldCharType="end"/>
      </w:r>
      <w:r>
        <w:t xml:space="preserve"> that he edited in folio at Basel in 1565 because of the similarity of subject matter; and finally Suffridus</w:t>
      </w:r>
      <w:r>
        <w:fldChar w:fldCharType="begin"/>
      </w:r>
      <w:r>
        <w:instrText xml:space="preserve"> XE "Suffridus" \f "Persons"</w:instrText>
      </w:r>
      <w:r>
        <w:fldChar w:fldCharType="end"/>
      </w:r>
      <w:r>
        <w:t xml:space="preserve"> Petri</w:t>
      </w:r>
      <w:r>
        <w:fldChar w:fldCharType="begin"/>
      </w:r>
      <w:r>
        <w:instrText xml:space="preserve"> XE "Petri" \f "Persons"</w:instrText>
      </w:r>
      <w:r>
        <w:fldChar w:fldCharType="end"/>
      </w:r>
      <w:r>
        <w:t>, who published the same work translated into Latin with more extensive notes at Cologne in octavo in 1567. Lang’s translation was preserved in the Basel edition; Suffridus was honored in the Leipzig editions of 1684 and 1685. The other editions we will list later retained Gesner’s translation.</w:t>
      </w:r>
    </w:p>
    <w:p w14:paraId="396DB9C1" w14:textId="77777777" w:rsidR="005C2B3E" w:rsidRDefault="00000000">
      <w:pPr>
        <w:ind w:firstLine="360"/>
      </w:pPr>
      <w:r>
        <w:t xml:space="preserve">Both works, the </w:t>
      </w:r>
      <w:r>
        <w:rPr>
          <w:i/>
        </w:rPr>
        <w:t>Legation</w:t>
      </w:r>
      <w:r>
        <w:t xml:space="preserve"> and the </w:t>
      </w:r>
      <w:r>
        <w:rPr>
          <w:i/>
        </w:rPr>
        <w:t>Book on the Resurrection of the Dead</w:t>
      </w:r>
      <w:r>
        <w:t xml:space="preserve">, were published in Latin in the Patristic Libraries at Paris in the years 1575, 1589, and 1609; at Cologne in 1618; at Lyon in 1677 in Greek and Latin with notes; at Paris in octavo in 1657 by Henri Estienne, whom the author of the </w:t>
      </w:r>
      <w:r>
        <w:rPr>
          <w:i/>
        </w:rPr>
        <w:t>General History of Sacred and Ecclesiastical Writers</w:t>
      </w:r>
      <w:r>
        <w:t xml:space="preserve"> wrongly thought had prepared a new translation; also at Zurich in 1559 and 1560 in folio among the writings of some ancient Greek orthodox theologians; in the </w:t>
      </w:r>
      <w:r>
        <w:rPr>
          <w:i/>
        </w:rPr>
        <w:t>Auctarium</w:t>
      </w:r>
      <w:r>
        <w:t xml:space="preserve"> of the Patristic Library, Paris 1624; also after the works of Justin in 1615, 1636, and 1686; at Oxford in duodecimo with brief notes by Bishop </w:t>
      </w:r>
      <w:r>
        <w:lastRenderedPageBreak/>
        <w:t>Fell of Oxford in 1682; and at Leipzig in octavo in 1684 and 1685 with notes by Rechenberg, who retained Suffridus’ translation.</w:t>
      </w:r>
    </w:p>
    <w:p w14:paraId="417BEE24" w14:textId="77777777" w:rsidR="005C2B3E" w:rsidRDefault="00000000">
      <w:pPr>
        <w:ind w:firstLine="360"/>
      </w:pPr>
      <w:r>
        <w:t>Another edition appeared at Oxford in the year 1706 in octavo, superior to the others, by the work of Edward Decbair, who found various readings from a single manuscript of the Royal Library of Paris and some English ones, and used this resource to correct the text. He corrected the translations of Gesner and Nannius in many places, added learned notes, and at the end placed observations from Suffridus</w:t>
      </w:r>
      <w:r>
        <w:fldChar w:fldCharType="begin"/>
      </w:r>
      <w:r>
        <w:instrText xml:space="preserve"> XE "Suffridus" \f "Persons"</w:instrText>
      </w:r>
      <w:r>
        <w:fldChar w:fldCharType="end"/>
      </w:r>
      <w:r>
        <w:t>, Lang, Kortholt, and Rechenberg, as well as some excerpts from Baronius, Halloix, Dodwell, and Boulle.</w:t>
      </w:r>
    </w:p>
    <w:p w14:paraId="4A6BAA6D" w14:textId="77777777" w:rsidR="005C2B3E" w:rsidRDefault="00000000">
      <w:pPr>
        <w:ind w:firstLine="360"/>
      </w:pPr>
      <w:r>
        <w:t xml:space="preserve">There were those who made Athenagoras clearer in the vernacular languages. The </w:t>
      </w:r>
      <w:r>
        <w:rPr>
          <w:i/>
        </w:rPr>
        <w:t>Book on the Resurrection</w:t>
      </w:r>
      <w:r>
        <w:t xml:space="preserve"> was translated into Italian by Hieronymus Faleti at Venice by Aldus</w:t>
      </w:r>
      <w:r>
        <w:fldChar w:fldCharType="begin"/>
      </w:r>
      <w:r>
        <w:instrText xml:space="preserve"> XE "Aldus" \f "Persons"</w:instrText>
      </w:r>
      <w:r>
        <w:fldChar w:fldCharType="end"/>
      </w:r>
      <w:r>
        <w:t xml:space="preserve"> in quarto in the year 1557, if we believe Fabricius</w:t>
      </w:r>
      <w:r>
        <w:fldChar w:fldCharType="begin"/>
      </w:r>
      <w:r>
        <w:instrText xml:space="preserve"> XE "Fabricius" \f "Persons"</w:instrText>
      </w:r>
      <w:r>
        <w:fldChar w:fldCharType="end"/>
      </w:r>
      <w:r>
        <w:t xml:space="preserve">; 1556, according to the author of the </w:t>
      </w:r>
      <w:r>
        <w:rPr>
          <w:i/>
        </w:rPr>
        <w:t>General History of Sacred and Ecclesiastical Writers</w:t>
      </w:r>
      <w:r>
        <w:t xml:space="preserve">. The learned editor Edward Dechair assigns the year 1546. The same work appeared in English translated by Richard Porder at London in 1573. The </w:t>
      </w:r>
      <w:r>
        <w:rPr>
          <w:i/>
        </w:rPr>
        <w:t>Apology</w:t>
      </w:r>
      <w:r>
        <w:t xml:space="preserve"> was published in French by Guido Gaussart in octavo, Paris 1574. Both works appeared in English by David Humphreys in octavo, London 1714. The most learned Fabricius testifies that a French translation of both works exists, which is owed to Arnold Ferron.</w:t>
      </w:r>
    </w:p>
    <w:p w14:paraId="1F75FF27" w14:textId="77777777" w:rsidR="005C2B3E" w:rsidRDefault="00000000">
      <w:pPr>
        <w:ind w:firstLine="360"/>
      </w:pPr>
      <w:r>
        <w:t>We have already said that St. Theophilus first appeared in Greek, together with Tatian, at Zurich in folio in the year 1546, by the work of Johannes</w:t>
      </w:r>
      <w:r>
        <w:fldChar w:fldCharType="begin"/>
      </w:r>
      <w:r>
        <w:instrText xml:space="preserve"> XE "Johannes" \f "Persons"</w:instrText>
      </w:r>
      <w:r>
        <w:fldChar w:fldCharType="end"/>
      </w:r>
      <w:r>
        <w:t xml:space="preserve"> Frisius. In the same city and year, it appeared in Latin from the translation of Conrad Clauser, which translation is indeed found in the Patristic Libraries, Paris 1575, 1589, 1609, 1644; Cologne 1618; Lyon 1677. Moreover, this work exists in Greek and Latin among the </w:t>
      </w:r>
      <w:r>
        <w:rPr>
          <w:i/>
        </w:rPr>
        <w:t>Orthodoxographers</w:t>
      </w:r>
      <w:r>
        <w:t xml:space="preserve"> in the year 1555; at Basel in folio in the </w:t>
      </w:r>
      <w:r>
        <w:rPr>
          <w:i/>
        </w:rPr>
        <w:t>Auctarium</w:t>
      </w:r>
      <w:r>
        <w:t xml:space="preserve"> of the Patristic Library; Paris 1624, with notes by Fronton Du Casse; after the works of St. Justin, Paris 1615, 1636, and Cologne or rather Wittenberg 1686.</w:t>
      </w:r>
    </w:p>
    <w:p w14:paraId="0CCA2FB2" w14:textId="77777777" w:rsidR="005C2B3E" w:rsidRDefault="00000000">
      <w:pPr>
        <w:ind w:firstLine="360"/>
      </w:pPr>
      <w:r>
        <w:t>In the year 1684, a new edition of the books to Autolycus</w:t>
      </w:r>
      <w:r>
        <w:fldChar w:fldCharType="begin"/>
      </w:r>
      <w:r>
        <w:instrText xml:space="preserve"> XE "Autolycus" \f "Persons"</w:instrText>
      </w:r>
      <w:r>
        <w:fldChar w:fldCharType="end"/>
      </w:r>
      <w:r>
        <w:t xml:space="preserve"> was published at Oxford in duodecimo, by the work of John Fell, bishop of Oxford, who had a manuscript codex from the Bodleian Library, and corrected the translation of Clauser in some places, adding brief notes.</w:t>
      </w:r>
    </w:p>
    <w:p w14:paraId="43947FCE" w14:textId="77777777" w:rsidR="005C2B3E" w:rsidRDefault="00000000">
      <w:pPr>
        <w:ind w:firstLine="360"/>
      </w:pPr>
      <w:r>
        <w:t>Let all these editions yield to the Hamburg edition, which was published in the year 1724 in octavo by the work of Johann Christoph Wolf, pastor at St. Catherine’s in Hamburg and schoolmaster. He compared the text with the Bodleian manuscript and the royal Parisian manuscript, illustrated it with his own and others’ notes, and corrected the translation in many places.</w:t>
      </w:r>
    </w:p>
    <w:p w14:paraId="32F7C7E5" w14:textId="77777777" w:rsidR="005C2B3E" w:rsidRDefault="00000000">
      <w:pPr>
        <w:ind w:firstLine="360"/>
      </w:pPr>
      <w:r>
        <w:rPr>
          <w:i/>
        </w:rPr>
        <w:t>Hermias</w:t>
      </w:r>
      <w:r>
        <w:t>, says Fabricius</w:t>
      </w:r>
      <w:r>
        <w:fldChar w:fldCharType="begin"/>
      </w:r>
      <w:r>
        <w:instrText xml:space="preserve"> XE "Fabricius" \f "Persons"</w:instrText>
      </w:r>
      <w:r>
        <w:fldChar w:fldCharType="end"/>
      </w:r>
      <w:r>
        <w:t>, first saw the light from the codex of Johann Jacob Fugger with the version of Raphael Seiler</w:t>
      </w:r>
      <w:r>
        <w:fldChar w:fldCharType="begin"/>
      </w:r>
      <w:r>
        <w:instrText xml:space="preserve"> XE "Raphael Seiler" \f "Persons"</w:instrText>
      </w:r>
      <w:r>
        <w:fldChar w:fldCharType="end"/>
      </w:r>
      <w:r>
        <w:t xml:space="preserve"> of Augsburg, Basel 1553 in octavo, with the addition </w:t>
      </w:r>
      <w:r>
        <w:lastRenderedPageBreak/>
        <w:t xml:space="preserve">of Demetrius Cydonius’ speech on despising death; and among some ancient Greek theologians printed at Zurich in the year 1560 folio, Greek and Latin under the care of Gesner. Then, to omit the Latin editions found in the Patristic Libraries, it appeared again in Greek and Latin with corrections by Fronton Du Casse in the </w:t>
      </w:r>
      <w:r>
        <w:rPr>
          <w:i/>
        </w:rPr>
        <w:t>Auctarium Ducæanum</w:t>
      </w:r>
      <w:r>
        <w:t xml:space="preserve"> Paris 1624 in folio, volume I, and at the end of Justin Martyr Paris 1615, 1636 and Cologne or rather Wittenberg 1686 in folio. Finally, it was compared with the codex of Thomas Gale, adding notes by the same Gale, who considers Hermias to be the younger Theodoret, and with the notes of William Worth at the end of Tatian, Oxford 1700, octavo.</w:t>
      </w:r>
    </w:p>
    <w:p w14:paraId="66BC6FA9" w14:textId="77777777" w:rsidR="005C2B3E" w:rsidRDefault="00000000">
      <w:pPr>
        <w:pStyle w:val="Heading3"/>
      </w:pPr>
      <w:r>
        <w:t>CHAPTER 4</w:t>
      </w:r>
    </w:p>
    <w:p w14:paraId="66148D92" w14:textId="77777777" w:rsidR="005C2B3E" w:rsidRDefault="00000000">
      <w:pPr>
        <w:pStyle w:val="Heading4"/>
      </w:pPr>
      <w:r>
        <w:t>IN A FEW WORDS, WHAT HAS BEEN ATTEMPTED IN THIS NEW EDITION IS EXPLAINED</w:t>
      </w:r>
    </w:p>
    <w:p w14:paraId="3D87F873" w14:textId="77777777" w:rsidR="005C2B3E" w:rsidRDefault="00000000">
      <w:r>
        <w:t>I will not hold readers with a long speech, but will explain to them the method of my work, which, having been entrusted to the judgment of the learned, is to be praised and proclaimed by me less than excused with pardon for errors and stains, which in a difficult and challenging work I have guarded against too little and must be asked for.</w:t>
      </w:r>
    </w:p>
    <w:p w14:paraId="24532886" w14:textId="77777777" w:rsidR="005C2B3E" w:rsidRDefault="00000000">
      <w:pPr>
        <w:ind w:firstLine="360"/>
      </w:pPr>
      <w:r>
        <w:t xml:space="preserve">Certainly, great and many difficulties have been encountered in these ancient monuments. The scribes have made great wounds, whether by omitting some parts, or changing them, or even, which I observed in the whole chapter 2 of the </w:t>
      </w:r>
      <w:r>
        <w:rPr>
          <w:i/>
        </w:rPr>
        <w:t>Apology</w:t>
      </w:r>
      <w:r>
        <w:t xml:space="preserve"> of St. Justin, by transferring passages to places not their own. Added to this is a style neither harmonious in word choice nor careful in construction, especially in the </w:t>
      </w:r>
      <w:r>
        <w:rPr>
          <w:i/>
        </w:rPr>
        <w:t>Dialogue</w:t>
      </w:r>
      <w:r>
        <w:t xml:space="preserve"> of St. Justin, who, while burning with zeal to defend the truth, not only throws aside the ornaments of speech but also pays little attention to the clarity of expression. Tatian</w:t>
      </w:r>
      <w:r>
        <w:fldChar w:fldCharType="begin"/>
      </w:r>
      <w:r>
        <w:instrText xml:space="preserve"> XE "Tatian" \f "Persons"</w:instrText>
      </w:r>
      <w:r>
        <w:fldChar w:fldCharType="end"/>
      </w:r>
      <w:r>
        <w:t>’s elegant charms and refined pictures often cause no less trouble than a rough and unpolished style, so much so that it seemed to interpreters and critics that he was fixing sharp points on Crescens the Cynic while describing the mimes with native colors. Sometimes there is a laborious explanation of profane matters in these writers; but I do not know whether it was more laborious, not to say to perceive clearly what they think about the divinity of Christ (for their zeal of mind in defending this dogma and their open testimonies in preaching it are remarkable), but to explain and follow all the traces of some arguments which they use in this kind of writing.</w:t>
      </w:r>
    </w:p>
    <w:p w14:paraId="254660DE" w14:textId="77777777" w:rsidR="005C2B3E" w:rsidRDefault="00000000">
      <w:pPr>
        <w:ind w:firstLine="360"/>
      </w:pPr>
      <w:r>
        <w:t xml:space="preserve">Manuscript codices, changes in punctuation, parentheses where needed, apposition, and finally careful consideration of difficult passages and comparison with others by the same or different authors were a help in sorting these out. But these could not be managed without many notes, sometimes lengthy; yet care was taken to be brief. Surely I would have spared both myself and readers tedium, and the burden of the volume would have been rightly heavier, if I had added the commentaries of Langi, </w:t>
      </w:r>
      <w:r>
        <w:lastRenderedPageBreak/>
        <w:t>Perioni, Kortholt, and others, or if I had wished to illustrate ecclesiastical and secular matters in common places, or to collect whatever others have interpreted less conveniently or judged less learnedly, or whatever testimonies cited by Justin</w:t>
      </w:r>
      <w:r>
        <w:fldChar w:fldCharType="begin"/>
      </w:r>
      <w:r>
        <w:instrText xml:space="preserve"> XE "Justin" \f "Persons"</w:instrText>
      </w:r>
      <w:r>
        <w:fldChar w:fldCharType="end"/>
      </w:r>
      <w:r>
        <w:t xml:space="preserve"> and Theophilus</w:t>
      </w:r>
      <w:r>
        <w:fldChar w:fldCharType="begin"/>
      </w:r>
      <w:r>
        <w:instrText xml:space="preserve"> XE "Theophilus" \f "Persons"</w:instrText>
      </w:r>
      <w:r>
        <w:fldChar w:fldCharType="end"/>
      </w:r>
      <w:r>
        <w:t xml:space="preserve"> have differences from our Bibles. In all these matters I thought selection was necessary: I usually limit the effort of notes within the context and understanding of the author’s meaning; the observations of learned men who worked usefully before me, where I find them less convincing, I briefly refute; where they seem to be adopted, I gladly accept, but so that they are mostly expressed more briefly, and no one is deprived of due praise.</w:t>
      </w:r>
    </w:p>
    <w:p w14:paraId="17FEE35E" w14:textId="77777777" w:rsidR="005C2B3E" w:rsidRDefault="00000000">
      <w:pPr>
        <w:ind w:firstLine="360"/>
      </w:pPr>
      <w:r>
        <w:t>A new translation was especially needed for both Justin</w:t>
      </w:r>
      <w:r>
        <w:fldChar w:fldCharType="begin"/>
      </w:r>
      <w:r>
        <w:instrText xml:space="preserve"> XE "Justin" \f "Persons"</w:instrText>
      </w:r>
      <w:r>
        <w:fldChar w:fldCharType="end"/>
      </w:r>
      <w:r>
        <w:t xml:space="preserve">’s </w:t>
      </w:r>
      <w:r>
        <w:rPr>
          <w:i/>
        </w:rPr>
        <w:t>Apology</w:t>
      </w:r>
      <w:r>
        <w:t xml:space="preserve">, the </w:t>
      </w:r>
      <w:r>
        <w:rPr>
          <w:i/>
        </w:rPr>
        <w:t>Book on Monarchy</w:t>
      </w:r>
      <w:r>
        <w:t xml:space="preserve">, and the </w:t>
      </w:r>
      <w:r>
        <w:rPr>
          <w:i/>
        </w:rPr>
        <w:t>Dialogue</w:t>
      </w:r>
      <w:r>
        <w:t>, Athenagoras</w:t>
      </w:r>
      <w:r>
        <w:fldChar w:fldCharType="begin"/>
      </w:r>
      <w:r>
        <w:instrText xml:space="preserve"> XE "Athenagoras" \f "Persons"</w:instrText>
      </w:r>
      <w:r>
        <w:fldChar w:fldCharType="end"/>
      </w:r>
      <w:r>
        <w:t xml:space="preserve">’s </w:t>
      </w:r>
      <w:r>
        <w:rPr>
          <w:i/>
        </w:rPr>
        <w:t>Book on the Resurrection</w:t>
      </w:r>
      <w:r>
        <w:t>, and the three books of Theophilus</w:t>
      </w:r>
      <w:r>
        <w:fldChar w:fldCharType="begin"/>
      </w:r>
      <w:r>
        <w:instrText xml:space="preserve"> XE "Theophilus" \f "Persons"</w:instrText>
      </w:r>
      <w:r>
        <w:fldChar w:fldCharType="end"/>
      </w:r>
      <w:r>
        <w:t xml:space="preserve">. It was enough to correct the translation in several places in Justin’s </w:t>
      </w:r>
      <w:r>
        <w:rPr>
          <w:i/>
        </w:rPr>
        <w:t>Oration to the Greeks</w:t>
      </w:r>
      <w:r>
        <w:t xml:space="preserve">, the </w:t>
      </w:r>
      <w:r>
        <w:rPr>
          <w:i/>
        </w:rPr>
        <w:t>Letter to Diognetus</w:t>
      </w:r>
      <w:r>
        <w:t>, and the little work of Hermias</w:t>
      </w:r>
      <w:r>
        <w:fldChar w:fldCharType="begin"/>
      </w:r>
      <w:r>
        <w:instrText xml:space="preserve"> XE "Hermias" \f "Persons"</w:instrText>
      </w:r>
      <w:r>
        <w:fldChar w:fldCharType="end"/>
      </w:r>
      <w:r>
        <w:t xml:space="preserve">. In this work, care was taken to render a faithful word-for-word translation, and I did not take liberty without necessary cause. For it would be equally wrong either to damage the truth by negligence or to exaggerate it cunningly, as if it were weak and fragile. Therefore, it may be troublesome to some that the most excellent testimonies for the defense of doctrines, but which relied only on the authority of interpreters, are not found in my translation; such is that passage from Justin’s </w:t>
      </w:r>
      <w:r>
        <w:rPr>
          <w:i/>
        </w:rPr>
        <w:t>Dialogue</w:t>
      </w:r>
      <w:r>
        <w:t xml:space="preserve">, no. 88: </w:t>
      </w:r>
      <w:r>
        <w:rPr>
          <w:i/>
        </w:rPr>
        <w:t>The human race through Adam had fallen into death and the deception and seduction of the serpent; so meanwhile I will keep silent about the fault of each one acting wickedly for themselves.</w:t>
      </w:r>
      <w:r>
        <w:t xml:space="preserve"> Also cited was that of Theophilus from book ii: </w:t>
      </w:r>
      <w:r>
        <w:rPr>
          <w:i/>
        </w:rPr>
        <w:t>But what man had brought upon himself by injury and disobedience, God now gives to him, by his humanity and mercy making men obedient to himself.</w:t>
      </w:r>
      <w:r>
        <w:t xml:space="preserve"> There was a reason in the context why my translation lacked these testimonies. But this loss, if it should be seen as a loss, will be made up by many other things, which I have rendered with certain reasons so that the author’s meaning is placed in the clearest light and the whole dispute is settled.</w:t>
      </w:r>
    </w:p>
    <w:p w14:paraId="286541E6" w14:textId="77777777" w:rsidR="005C2B3E" w:rsidRDefault="00000000">
      <w:pPr>
        <w:ind w:firstLine="360"/>
      </w:pPr>
      <w:r>
        <w:t xml:space="preserve">I decided that the order of the works, which had been arranged at my discretion in previous editions, should be directed by the indications of time. However, the </w:t>
      </w:r>
      <w:r>
        <w:rPr>
          <w:i/>
        </w:rPr>
        <w:t>Apologies</w:t>
      </w:r>
      <w:r>
        <w:t xml:space="preserve"> of St. Justin</w:t>
      </w:r>
      <w:r>
        <w:fldChar w:fldCharType="begin"/>
      </w:r>
      <w:r>
        <w:instrText xml:space="preserve"> XE "Justin" \f "Persons"</w:instrText>
      </w:r>
      <w:r>
        <w:fldChar w:fldCharType="end"/>
      </w:r>
      <w:r>
        <w:t xml:space="preserve"> were not separated. Books falsely attributed to Justin were rejected into the Appendix, among which the </w:t>
      </w:r>
      <w:r>
        <w:rPr>
          <w:i/>
        </w:rPr>
        <w:t>Letter to Zenas and Serenus</w:t>
      </w:r>
      <w:r>
        <w:t xml:space="preserve"> stands out for its piety of precepts; but as certain and clear as it is that it is not by Justin, so obscure and uncertain is the time in which it was written. Following are two works, indeed unworthy of the name of the holy martyr because of the poison of errors, but still suitable enough to stir the desire for reading and knowledge: the </w:t>
      </w:r>
      <w:r>
        <w:rPr>
          <w:i/>
        </w:rPr>
        <w:t>Exposition of the Right Faith</w:t>
      </w:r>
      <w:r>
        <w:t xml:space="preserve">, in which Nestorian heresy breathes; and the </w:t>
      </w:r>
      <w:r>
        <w:rPr>
          <w:i/>
        </w:rPr>
        <w:t>Questions and Answers to the Orthodox</w:t>
      </w:r>
      <w:r>
        <w:t xml:space="preserve">, which are marked by Pelagian stains. Other </w:t>
      </w:r>
      <w:r>
        <w:rPr>
          <w:i/>
        </w:rPr>
        <w:t>Questions</w:t>
      </w:r>
      <w:r>
        <w:t xml:space="preserve"> and the </w:t>
      </w:r>
      <w:r>
        <w:rPr>
          <w:i/>
        </w:rPr>
        <w:t>Refutation of Aristotle’s Doctrines</w:t>
      </w:r>
      <w:r>
        <w:t xml:space="preserve"> refer to the same author as the </w:t>
      </w:r>
      <w:r>
        <w:rPr>
          <w:i/>
        </w:rPr>
        <w:t xml:space="preserve">Questions and Answers to the </w:t>
      </w:r>
      <w:r>
        <w:rPr>
          <w:i/>
        </w:rPr>
        <w:lastRenderedPageBreak/>
        <w:t>Orthodox</w:t>
      </w:r>
      <w:r>
        <w:t xml:space="preserve"> by a remarkable similarity of style. The second part of the Appendix was assigned to the </w:t>
      </w:r>
      <w:r>
        <w:rPr>
          <w:i/>
        </w:rPr>
        <w:t>Acts of the Martyrdom of St. Justin</w:t>
      </w:r>
      <w:r>
        <w:t>, which I published in Greek and Latin after Papebroch, and to fragments of lost works of Justin, Tatian</w:t>
      </w:r>
      <w:r>
        <w:fldChar w:fldCharType="begin"/>
      </w:r>
      <w:r>
        <w:instrText xml:space="preserve"> XE "Tatian" \f "Persons"</w:instrText>
      </w:r>
      <w:r>
        <w:fldChar w:fldCharType="end"/>
      </w:r>
      <w:r>
        <w:t>, and Theophilus</w:t>
      </w:r>
      <w:r>
        <w:fldChar w:fldCharType="begin"/>
      </w:r>
      <w:r>
        <w:instrText xml:space="preserve"> XE "Theophilus" \f "Persons"</w:instrText>
      </w:r>
      <w:r>
        <w:fldChar w:fldCharType="end"/>
      </w:r>
      <w:r>
        <w:t>.</w:t>
      </w:r>
    </w:p>
    <w:p w14:paraId="4F9DE999" w14:textId="77777777" w:rsidR="005C2B3E" w:rsidRDefault="00000000">
      <w:pPr>
        <w:ind w:firstLine="360"/>
      </w:pPr>
      <w:r>
        <w:t>Two recent manuscript codices were useful, which contain all the works of Justin</w:t>
      </w:r>
      <w:r>
        <w:fldChar w:fldCharType="begin"/>
      </w:r>
      <w:r>
        <w:instrText xml:space="preserve"> XE "Justin" \f "Persons"</w:instrText>
      </w:r>
      <w:r>
        <w:fldChar w:fldCharType="end"/>
      </w:r>
      <w:r>
        <w:t xml:space="preserve">, both genuine and spurious; one from the Royal Library formerly 2270, now 450, the other from Clermont. Besides these, very ancient royal codices 451 and 174, formerly 2271, and 2919 were used for the </w:t>
      </w:r>
      <w:r>
        <w:rPr>
          <w:i/>
        </w:rPr>
        <w:t>Cohortation</w:t>
      </w:r>
      <w:r>
        <w:t xml:space="preserve">; and the Colbertinus, which is now royal 19. For the </w:t>
      </w:r>
      <w:r>
        <w:rPr>
          <w:i/>
        </w:rPr>
        <w:t>Letter to Zenas and Serenus</w:t>
      </w:r>
      <w:r>
        <w:t xml:space="preserve">, royal codices 451 and 174, as well as two Clermont codices, which are so alike that each seems copied from the same codex or one from the other. The same Clermont codices, together with royal 938 and 1268, and two Coislin codices, the first of which is believed to be from the tenth century, were helpful for correcting the </w:t>
      </w:r>
      <w:r>
        <w:rPr>
          <w:i/>
        </w:rPr>
        <w:t>Exposition of the Faith</w:t>
      </w:r>
      <w:r>
        <w:t xml:space="preserve">. The </w:t>
      </w:r>
      <w:r>
        <w:rPr>
          <w:i/>
        </w:rPr>
        <w:t>Refutation of Aristotle’s Doctrines</w:t>
      </w:r>
      <w:r>
        <w:t xml:space="preserve"> was compared with royal 2153. Athenagoras</w:t>
      </w:r>
      <w:r>
        <w:fldChar w:fldCharType="begin"/>
      </w:r>
      <w:r>
        <w:instrText xml:space="preserve"> XE "Athenagoras" \f "Persons"</w:instrText>
      </w:r>
      <w:r>
        <w:fldChar w:fldCharType="end"/>
      </w:r>
      <w:r>
        <w:t xml:space="preserve">’s </w:t>
      </w:r>
      <w:r>
        <w:rPr>
          <w:i/>
        </w:rPr>
        <w:t>Legation</w:t>
      </w:r>
      <w:r>
        <w:t xml:space="preserve"> was compared with two royal codices 451, 174, three Roman codices, two of which are from Ottobonian, the other from the Vatican Library, Clermont, and another from the library of the Oratory Institution in Paris. His </w:t>
      </w:r>
      <w:r>
        <w:rPr>
          <w:i/>
        </w:rPr>
        <w:t>Book on the Resurrection</w:t>
      </w:r>
      <w:r>
        <w:t xml:space="preserve"> was compared with the same royal codices 451, 174, 450, and two Clermont codices, to which were added various readings once collected by the most learned Bigot from a manuscript codex preserved in the Saint-Germain library. The third book of Theophilus</w:t>
      </w:r>
      <w:r>
        <w:fldChar w:fldCharType="begin"/>
      </w:r>
      <w:r>
        <w:instrText xml:space="preserve"> XE "Theophilus" \f "Persons"</w:instrText>
      </w:r>
      <w:r>
        <w:fldChar w:fldCharType="end"/>
      </w:r>
      <w:r>
        <w:t xml:space="preserve"> was compared with royal 887. Hermias with two Roman codices, one Vatican and the other Ottobonian. I owe the various readings of the Roman codices to two learned procurators of our congregation in the Roman Curia, Mr. Etiennot and Mr. Peter Maloet, the first of whom compared Athenagoras’s </w:t>
      </w:r>
      <w:r>
        <w:rPr>
          <w:i/>
        </w:rPr>
        <w:t>Legation</w:t>
      </w:r>
      <w:r>
        <w:t xml:space="preserve"> with two Ottobonian codices. I must express my gratitude for the exceptional kindness in helping me shown by the most learned custodians of the Royal Library, Mr. Boivin and Mr. de Targnies, and those who succeeded them. There was also a long and generous goodwill toward me from the reverend Father Hardouin, whom no one does not know was long the head of the library of the Paris College of the Society of Jesus. For the testimonies of Justin cited by Eusebius</w:t>
      </w:r>
      <w:r>
        <w:fldChar w:fldCharType="begin"/>
      </w:r>
      <w:r>
        <w:instrText xml:space="preserve"> XE "Eusebius" \f "Persons"</w:instrText>
      </w:r>
      <w:r>
        <w:fldChar w:fldCharType="end"/>
      </w:r>
      <w:r>
        <w:t xml:space="preserve">, I used various readings from manuscript codices, which were shared with me by one of our own preparing a new edition of Eusebius’s </w:t>
      </w:r>
      <w:r>
        <w:rPr>
          <w:i/>
        </w:rPr>
        <w:t>History</w:t>
      </w:r>
      <w:r>
        <w:t>.</w:t>
      </w:r>
    </w:p>
    <w:p w14:paraId="781772A3" w14:textId="77777777" w:rsidR="005C2B3E" w:rsidRDefault="00000000">
      <w:pPr>
        <w:pStyle w:val="Heading2"/>
      </w:pPr>
      <w:r>
        <w:t>PART II OF THE PREFACE</w:t>
      </w:r>
    </w:p>
    <w:p w14:paraId="3695D22C" w14:textId="77777777" w:rsidR="005C2B3E" w:rsidRDefault="00000000">
      <w:pPr>
        <w:spacing w:before="180" w:after="0"/>
        <w:ind w:left="720" w:right="320" w:hanging="360"/>
      </w:pPr>
      <w:r>
        <w:t>In which many things are discussed concerning the teaching of Justin</w:t>
      </w:r>
      <w:r>
        <w:fldChar w:fldCharType="begin"/>
      </w:r>
      <w:r>
        <w:instrText xml:space="preserve"> XE "Justin" \f "Persons"</w:instrText>
      </w:r>
      <w:r>
        <w:fldChar w:fldCharType="end"/>
      </w:r>
      <w:r>
        <w:t xml:space="preserve"> and other defenders of the faith</w:t>
      </w:r>
    </w:p>
    <w:p w14:paraId="2CACBEAC" w14:textId="77777777" w:rsidR="005C2B3E" w:rsidRDefault="00000000">
      <w:pPr>
        <w:pStyle w:val="Heading3"/>
      </w:pPr>
      <w:r>
        <w:lastRenderedPageBreak/>
        <w:t>CHAPTER 1</w:t>
      </w:r>
    </w:p>
    <w:p w14:paraId="7A1B9A68" w14:textId="77777777" w:rsidR="005C2B3E" w:rsidRDefault="00000000">
      <w:pPr>
        <w:pStyle w:val="Heading4"/>
      </w:pPr>
      <w:r>
        <w:t>DID JUSTIN RIGHTLY CONSIDER THE WORD KNOWN TO PLATO? OR DID JUSTIN HIMSELF LEARN THIS TEACHING ABOUT THE WORD IN PLATO’S SCHOOL?</w:t>
      </w:r>
    </w:p>
    <w:p w14:paraId="0FFF8464" w14:textId="77777777" w:rsidR="005C2B3E" w:rsidRDefault="00000000">
      <w:pPr>
        <w:spacing w:before="180" w:after="0"/>
        <w:ind w:left="720" w:right="320" w:hanging="360"/>
      </w:pPr>
      <w:r>
        <w:t>Testimonies of Plato</w:t>
      </w:r>
      <w:r>
        <w:fldChar w:fldCharType="begin"/>
      </w:r>
      <w:r>
        <w:instrText xml:space="preserve"> XE "Plato" \f "Persons"</w:instrText>
      </w:r>
      <w:r>
        <w:fldChar w:fldCharType="end"/>
      </w:r>
      <w:r>
        <w:t xml:space="preserve"> about ideas and λόγος from Timaeus. II. Others are drawn from Timaeus. III. What the only-begotten, the born God, the image of God mean in Plato. IV. Plato considered the world to be the perfect image of God. V. A famous passage, where Plato seemed to speak about the Triad, contains the Pythagorean Tetrad. VI. The knowledge and truth born from God are begotten. VII. No writers older or equal to Justin</w:t>
      </w:r>
      <w:r>
        <w:fldChar w:fldCharType="begin"/>
      </w:r>
      <w:r>
        <w:instrText xml:space="preserve"> XE "Justin" \f "Persons"</w:instrText>
      </w:r>
      <w:r>
        <w:fldChar w:fldCharType="end"/>
      </w:r>
      <w:r>
        <w:t xml:space="preserve"> saw anything about the Word in Plato. VIII. Justin approached the Church inexperienced in this teaching.</w:t>
      </w:r>
    </w:p>
    <w:p w14:paraId="5886A680" w14:textId="77777777" w:rsidR="005C2B3E" w:rsidRDefault="00000000">
      <w:r>
        <w:t>It is not my purpose here to gather everything related to the doctrine in these writings (for a full index has been prepared for this use), but only to examine those things which either have been twisted into foreign meanings or, being obscure and difficult on their own, could not be explained or clarified in the notes. Indeed, there would be a rich field of discussion about the divinity of Christ, if I had not already exhausted this labor as carefully as I could in the notes. But there remains in this matter a question not to be neglected, which seems to me to be the main aim of my work. Those who in recent centuries have sharpened impious tongues against the divinity of Christ have not ceased to shout that λόγος was a person distinct from the highest God in Plato</w:t>
      </w:r>
      <w:r>
        <w:fldChar w:fldCharType="begin"/>
      </w:r>
      <w:r>
        <w:instrText xml:space="preserve"> XE "Plato" \f "Persons"</w:instrText>
      </w:r>
      <w:r>
        <w:fldChar w:fldCharType="end"/>
      </w:r>
      <w:r>
        <w:t>, and that this teaching flowed from Plato’s school into the Church, with Justin</w:t>
      </w:r>
      <w:r>
        <w:fldChar w:fldCharType="begin"/>
      </w:r>
      <w:r>
        <w:instrText xml:space="preserve"> XE "Justin" \f "Persons"</w:instrText>
      </w:r>
      <w:r>
        <w:fldChar w:fldCharType="end"/>
      </w:r>
      <w:r>
        <w:t>, the leader of this crime, as its source. John Clericus</w:t>
      </w:r>
      <w:r>
        <w:fldChar w:fldCharType="begin"/>
      </w:r>
      <w:r>
        <w:instrText xml:space="preserve"> XE "John Clericus" \f "Persons"</w:instrText>
      </w:r>
      <w:r>
        <w:fldChar w:fldCharType="end"/>
      </w:r>
      <w:r>
        <w:t xml:space="preserve">, in </w:t>
      </w:r>
      <w:r>
        <w:rPr>
          <w:i/>
        </w:rPr>
        <w:t>Epistolae Criticae</w:t>
      </w:r>
      <w:r>
        <w:t xml:space="preserve"> 7, 8, 9, declares that even the Jews themselves, especially Philo</w:t>
      </w:r>
      <w:r>
        <w:fldChar w:fldCharType="begin"/>
      </w:r>
      <w:r>
        <w:instrText xml:space="preserve"> XE "Philo" \f "Persons"</w:instrText>
      </w:r>
      <w:r>
        <w:fldChar w:fldCharType="end"/>
      </w:r>
      <w:r>
        <w:t>, drew from Plato’s sources whatever they taught about the Word of God, the Son, and the maker of all. In this interpretation of Platonism introduced into the Church, as if it were a certain and proven matter, Laurence</w:t>
      </w:r>
      <w:r>
        <w:fldChar w:fldCharType="begin"/>
      </w:r>
      <w:r>
        <w:instrText xml:space="preserve"> XE "Laurence" \f "Persons"</w:instrText>
      </w:r>
      <w:r>
        <w:fldChar w:fldCharType="end"/>
      </w:r>
      <w:r>
        <w:t xml:space="preserve"> Moshemius recently laid the foundations for all the nonsense that he exposed in his dissertation </w:t>
      </w:r>
      <w:r>
        <w:rPr>
          <w:i/>
        </w:rPr>
        <w:t>De turbata per Platonicos Ecclesia</w:t>
      </w:r>
      <w:r>
        <w:t>. Since the very consideration of Plato’s testimonies seems able to engage and delight the minds of readers, and especially regarding Christian doctrine—which, however, in such clear light I admit my works do not need—I hope to do well if I show that neither Plato was in any way touched by the Christian doctrine of the Son of God, nor did Justin make use of any benefit from Plato or the Platonists in this matter. Therefore, we must inquire what the idea and λόγος mean in Plato, from which the world was created, and what the Son of God and the image of God signify in him.</w:t>
      </w:r>
    </w:p>
    <w:p w14:paraId="40AE62DA" w14:textId="77777777" w:rsidR="005C2B3E" w:rsidRDefault="00000000">
      <w:pPr>
        <w:ind w:firstLine="360"/>
      </w:pPr>
      <w:r>
        <w:t>Many things occur in Plato</w:t>
      </w:r>
      <w:r>
        <w:fldChar w:fldCharType="begin"/>
      </w:r>
      <w:r>
        <w:instrText xml:space="preserve"> XE "Plato" \f "Persons"</w:instrText>
      </w:r>
      <w:r>
        <w:fldChar w:fldCharType="end"/>
      </w:r>
      <w:r>
        <w:t xml:space="preserve"> about ideas and the nature of God: but he does not even seem to have suspected that these ideas, this λόγος, was distinct from the highest God, as a person begotten by him. We have his opinion clearly expressed, both in the </w:t>
      </w:r>
      <w:r>
        <w:lastRenderedPageBreak/>
        <w:t xml:space="preserve">dialogue called </w:t>
      </w:r>
      <w:r>
        <w:rPr>
          <w:i/>
        </w:rPr>
        <w:t>Timaeus</w:t>
      </w:r>
      <w:r>
        <w:t xml:space="preserve"> and in another little book, in which Plato does not follow the manner of dialogues, but himself reports what he heard from Timaeus of Locri</w:t>
      </w:r>
      <w:r>
        <w:fldChar w:fldCharType="begin"/>
      </w:r>
      <w:r>
        <w:instrText xml:space="preserve"> XE "Timaeus of Locri" \f "Persons"</w:instrText>
      </w:r>
      <w:r>
        <w:fldChar w:fldCharType="end"/>
      </w:r>
      <w:r>
        <w:t>, a notable Pythagorean. Thus this little book begins: Τίμαιος ὁ Λόκρος τάδε ἔφα· Δύο αἰτίας εἶμεν τῶν ξυμπάντων· νόον μὲν τῶν κατὰ λόγον γιγνομένων· ἀνάγκαν δὲ τῶν βίᾳ καττὰς δυνάμεις τῶν σωμάτων. Τουτέων δὲ τᾶς τἀγαθῶ φύσιος εἷμεν, Θεόν τε ὀνομαίνεσθαι, ἀρχάν τε τῶν ἀρχῶν· τὰ δὲ ἑπόμενά τε καὶ συναίτια εἰς ἀνάγκαν ἀνάγεσθαι. Τὰ δὲ ξύμπαντα ἰδέαν, ὕλαν, αἰσθητόν τε, οἷον ἔκγονον τουτέων. Καὶ τὸ μὲν εἷμεν ἀγένατόν τε καὶ ἀκίνατον, καὶ μένον τε καὶ τᾶς ταὐτῶ φύσιος, νοατόν τε καὶ παράδειγμα τῶν γεννωμένων, ὁκόσα ἐν μεταβολᾷ ἐντί. Τοιοῦτον γάρ τι τὰν ἰδέαν λέγεσταί τε καὶ νοεῖσθαι. Τὰν δὲ ὕλαν ἐκμαγεῖον καὶ ματέρα, τιθάναν τε καὶ γεννατικὰν εἷμεν τᾶς τρίτας οὐσίας.… Δύο ὦν αἵδε ἀρχαὶ ἐναντίαι· ὧν τὸ μὲν εἷδος λόγον ἔχει ἄῤῥενός τε καὶ πατρός· ἁ δὲ ὕλα θήλεός τε καὶ ματέρος.</w:t>
      </w:r>
    </w:p>
    <w:p w14:paraId="7D1323AD" w14:textId="77777777" w:rsidR="005C2B3E" w:rsidRDefault="00000000">
      <w:pPr>
        <w:ind w:firstLine="360"/>
      </w:pPr>
      <w:r>
        <w:t>“Timaeus of Locri</w:t>
      </w:r>
      <w:r>
        <w:fldChar w:fldCharType="begin"/>
      </w:r>
      <w:r>
        <w:instrText xml:space="preserve"> XE "Timaeus of Locri" \f "Persons"</w:instrText>
      </w:r>
      <w:r>
        <w:fldChar w:fldCharType="end"/>
      </w:r>
      <w:r>
        <w:t xml:space="preserve"> said these things: There are two causes of all things: mind indeed of those things that come to be according to reason; necessity of those things that come to be by force according to the powers of bodies. Of these causes, one is the nature of that which is called good; and it is called God, and the cause of causes; but those things that follow and come together as causes are referred to necessity; finally, all things are idea, matter, and sensible, as if offspring of both. And that indeed is unbegotten and unmoving, and remaining and of the same nature, intelligible and the pattern of things begotten, all that are in change. For such a thing is said to be and to be thought of as idea. But matter is the image and mother, nurse and generative of the third essence.… These two principles are opposites: of which the idea has the reason of male and father; but matter is female and mother.”</w:t>
      </w:r>
    </w:p>
    <w:p w14:paraId="624CA5EC" w14:textId="77777777" w:rsidR="005C2B3E" w:rsidRDefault="00000000">
      <w:pPr>
        <w:ind w:firstLine="360"/>
      </w:pPr>
      <w:r>
        <w:t>In this speech of Timaeus of Locri</w:t>
      </w:r>
      <w:r>
        <w:fldChar w:fldCharType="begin"/>
      </w:r>
      <w:r>
        <w:instrText xml:space="preserve"> XE "Timaeus of Locri" \f "Persons"</w:instrText>
      </w:r>
      <w:r>
        <w:fldChar w:fldCharType="end"/>
      </w:r>
      <w:r>
        <w:t>, mind, God, idea, and pattern are used in exactly the same sense. Idea is a principle by no means idle, but which has the place of male and father, and is something unbegotten and unmoving and remaining. There is no trace here of the Word as distinct from the highest God.</w:t>
      </w:r>
    </w:p>
    <w:p w14:paraId="3186352A" w14:textId="77777777" w:rsidR="005C2B3E" w:rsidRDefault="00000000">
      <w:pPr>
        <w:ind w:firstLine="360"/>
      </w:pPr>
      <w:r>
        <w:t>This is confirmed by what follows: Πρὶν ὦν ὠρανὸν γενέσθαι λόγῳ, ἤστην ἰδέα τε καὶ ὕλα· καὶ ὁ Θεὸς δημιουργὸς τῶ βελτίονος. Ἐπεὶ δὲ τὸ πρεσβύτερον κάῤῷον ἐστὶ τῶ νεωτέρω, καὶ τὸ τεταγμένον πρὸ τῶ ἀτάκτω· ἀγαθὸς ὢν ὁ Θεὸς, ὁρῶν τε τὰν ὕλαν δεχομέναν τὰν ἰδέαν καὶ ἀλλοιουμένην παντοίως μὲν, ἀτάκτως δὲ, ἔδει τʼ εἰς τάξιν αὐτὰν ἄγεν, καὶ ἐξ ἀορίστων μεταβολῶν εἰς ὡρισμέναν καταστᾶσαι, ἵνα ὁμόλογοι ταὶ διακρίσεις τῶν σωμάτων γίγνοιντο, καὶ μὴ κατʼ αὐτόματον τροπὰς δέχοιντο· ἐποίησεν ὦν τόνδε τὸν κόσμον ἐξ ἁπάσας τᾶς ὔλας.</w:t>
      </w:r>
    </w:p>
    <w:p w14:paraId="04B24B5A" w14:textId="77777777" w:rsidR="005C2B3E" w:rsidRDefault="00000000">
      <w:pPr>
        <w:ind w:firstLine="360"/>
      </w:pPr>
      <w:r>
        <w:t xml:space="preserve">“Therefore, before the heaven came to be by λόγος, there were idea and matter; and God is the maker of the better. Since the older is superior to the younger, and the ordered before the unordered; God being good, and seeing that matter received the idea and was changed in every way, but disorderly, it was necessary to bring it into </w:t>
      </w:r>
      <w:r>
        <w:lastRenderedPageBreak/>
        <w:t>order, and to establish it from indefinite changes into definite ones, so that the divisions of bodies would be harmonious, and would not receive changes by chance; therefore he made this world out of all matter.”</w:t>
      </w:r>
    </w:p>
    <w:p w14:paraId="47016CEC" w14:textId="77777777" w:rsidR="005C2B3E" w:rsidRDefault="00000000">
      <w:pPr>
        <w:ind w:firstLine="360"/>
      </w:pPr>
      <w:r>
        <w:t>Therefore, heaven is created by λόγος, but this λόγος is not distinguished from idea, nor is idea from God.</w:t>
      </w:r>
    </w:p>
    <w:p w14:paraId="1CBC808A" w14:textId="77777777" w:rsidR="005C2B3E" w:rsidRDefault="00000000">
      <w:pPr>
        <w:ind w:firstLine="360"/>
      </w:pPr>
      <w:r>
        <w:t>Not long after, idea is called the intelligible essence, which includes all living things within itself. Κράτιστος δʼ ἐστὶ γεννατῶν, ἐπεὶ ὑπὸ τῶ κρατίστω αἰτίω ἐγένετο, ἀφορῶντος οὐκ εἰς χειρόκματα παραδείγματα, ἀλλʼ εἰς τὰν ἰδέαν καὶ ἐς τὰν νοατὰν οὐσίαν· ποθʼ ἄν περ τὸ γεννώμενον ἀπακριβωθὲν κάλλιστόν τε καὶ ἀπαρεγχείρητον γίγνεται. Τέλειος δʼ ἀεὶ κατὰ τὰ αἰσθητά ἐστιν, ὅτι καὶ τὸ παράδειγμα τῆνο αὐτοῦ περιέχον πάντα τὰ νοατὰ ζῶα ἐν αὐτῷ, οὐδὲν ἐκτὸς ἀπέλιπεν ἄλλο, ὅρος ὢν νοατῶν παντελὴς, ὡς ὅδε ὁ κόσμος αἰσθητῶν.</w:t>
      </w:r>
    </w:p>
    <w:p w14:paraId="069BE9B4" w14:textId="77777777" w:rsidR="005C2B3E" w:rsidRDefault="00000000">
      <w:pPr>
        <w:ind w:firstLine="360"/>
      </w:pPr>
      <w:r>
        <w:t>“But the world is the best of all things born, since it was made by the best cause, not by a hand-made model, but by idea and intelligible essence, to which what is made is accurately expressed, most beautiful and impregnable. It is always perfect in sensible things, because its pattern, which includes all intelligible living things in itself, has left nothing outside; indeed, it is the perfect limit of intelligible things, just as this world is of sensible things.”</w:t>
      </w:r>
    </w:p>
    <w:p w14:paraId="26616161" w14:textId="77777777" w:rsidR="005C2B3E" w:rsidRDefault="00000000">
      <w:pPr>
        <w:ind w:firstLine="360"/>
      </w:pPr>
      <w:r>
        <w:t>Therefore, idea, according to Timaeus, is nothing other than the intelligible essence that includes all things, and it does not hold idle parts of a model in creating the world, but those of mother and father, as God himself.</w:t>
      </w:r>
    </w:p>
    <w:p w14:paraId="00E1888E" w14:textId="77777777" w:rsidR="005C2B3E" w:rsidRDefault="00000000">
      <w:pPr>
        <w:ind w:firstLine="360"/>
      </w:pPr>
      <w:r>
        <w:t>II. The whole of Plato</w:t>
      </w:r>
      <w:r>
        <w:fldChar w:fldCharType="begin"/>
      </w:r>
      <w:r>
        <w:instrText xml:space="preserve"> XE "Plato" \f "Persons"</w:instrText>
      </w:r>
      <w:r>
        <w:fldChar w:fldCharType="end"/>
      </w:r>
      <w:r>
        <w:t xml:space="preserve">’s </w:t>
      </w:r>
      <w:r>
        <w:rPr>
          <w:i/>
        </w:rPr>
        <w:t>Timaeus</w:t>
      </w:r>
      <w:r>
        <w:t xml:space="preserve"> is almost nothing other than a longer explanation of this teaching of Timaeus of Locri</w:t>
      </w:r>
      <w:r>
        <w:fldChar w:fldCharType="begin"/>
      </w:r>
      <w:r>
        <w:instrText xml:space="preserve"> XE "Timaeus of Locri" \f "Persons"</w:instrText>
      </w:r>
      <w:r>
        <w:fldChar w:fldCharType="end"/>
      </w:r>
      <w:r>
        <w:t>. But in this dialogue, reason and divine ideas are nowhere distinguished from God himself. That reason or λόγος is nothing other than the thought of God is clear from these words on p. 1052: Ἐξ οὖν λόγου καὶ διανοίας Θεοῦ τοιαύτης πρὸς χρόνου γένεσιν, ἵνα γεννηθῇ χρόνος, ἤλιος καὶ σελήνη καὶ πέντε ἄλλα ἄστρα, ἐπίκλην ἔχοντα πλάνητες, εἰς διορισμὸν καὶ φυλακὴν ἀριθμῶν χρόνου γέγονε.</w:t>
      </w:r>
    </w:p>
    <w:p w14:paraId="6740598B" w14:textId="77777777" w:rsidR="005C2B3E" w:rsidRDefault="00000000">
      <w:pPr>
        <w:ind w:firstLine="360"/>
      </w:pPr>
      <w:r>
        <w:t>“From this therefore of God concerning the creation of time, by reason and thought, so that time might be created, the sun and moon and five other stars, called planets, were made for the distinction and keeping of the numbers of time.”</w:t>
      </w:r>
    </w:p>
    <w:p w14:paraId="2AB81EE9" w14:textId="77777777" w:rsidR="005C2B3E" w:rsidRDefault="00000000">
      <w:pPr>
        <w:ind w:firstLine="360"/>
      </w:pPr>
      <w:r>
        <w:t>And on p. 1049: Οῦτως δὲ πᾶς ὄντως ἀεὶ λογισμὸς Θεοῦ περὶ τὸν ποτὲ ἐσόμενον Θεὸν λογισθεὶς, λεῖον καὶ ὁμαλὸν, πανταχῆ τε ἐκ μέσου ἴσον, καὶ ὅλον καὶ τέλεον ἐκ τελέων σωμάτων σῶμα ἐποίησε.</w:t>
      </w:r>
    </w:p>
    <w:p w14:paraId="7486A7C9" w14:textId="77777777" w:rsidR="005C2B3E" w:rsidRDefault="00000000">
      <w:pPr>
        <w:ind w:firstLine="360"/>
      </w:pPr>
      <w:r>
        <w:lastRenderedPageBreak/>
        <w:t>“Thus then every true reasoning of God concerning the God who will be at some time, having been considered, made a smooth and even, and everywhere equal from the middle, and whole and perfect body out of perfect bodies.”</w:t>
      </w:r>
    </w:p>
    <w:p w14:paraId="6CDFAD5F" w14:textId="77777777" w:rsidR="005C2B3E" w:rsidRDefault="00000000">
      <w:pPr>
        <w:ind w:firstLine="360"/>
      </w:pPr>
      <w:r>
        <w:t>Clericus</w:t>
      </w:r>
      <w:r>
        <w:fldChar w:fldCharType="begin"/>
      </w:r>
      <w:r>
        <w:instrText xml:space="preserve"> XE "Clericus" \f "Persons"</w:instrText>
      </w:r>
      <w:r>
        <w:fldChar w:fldCharType="end"/>
      </w:r>
      <w:r>
        <w:t xml:space="preserve"> wrongly thinks this last passage suitable to persuade Christians that the Scriptures teach the same about the Word as Plato</w:t>
      </w:r>
      <w:r>
        <w:fldChar w:fldCharType="begin"/>
      </w:r>
      <w:r>
        <w:instrText xml:space="preserve"> XE "Plato" \f "Persons"</w:instrText>
      </w:r>
      <w:r>
        <w:fldChar w:fldCharType="end"/>
      </w:r>
      <w:r>
        <w:t xml:space="preserve"> does. For this reasoning of God, even if someone blindly accepts it, can never seem to be a person distinct from God, nor is it anything other than God’s own thought, as Plato calls it in the earlier testimony. It is all the less doubtful that Plato speaks only of God’s thought, since in both places he attributes a singular thought and reasoning to God. For in the first, he says time had to be created so that just as the pattern of the world is through all ages or through all eternity, so the world would be through all time, and because of this thought of God, the sun was made. In the other, he gives this reasoning why the world was given this form—that God judged it would be better if it were self-sufficient and did not need outside help. The same way of speaking occurs throughout. Thus on p. 1048: Deus λογισάμενος, “when he had thought,” found that things with a mind are more beautiful than those without, but a mind cannot be without a soul, and “because of this thought,” διὰ τὸν λογισμὸν τόνδε, he established mind in the soul, soul in the body. Likewise on p. 1049: When God saw that cold and heat harm the body; διὰ τὴν αἰτίαν καὶ τὸν λογισμὸν τόνδε, “because of this cause and reasoning,” he made one perfect whole from all things, free from old age and disease.</w:t>
      </w:r>
    </w:p>
    <w:p w14:paraId="5C0B1051" w14:textId="77777777" w:rsidR="005C2B3E" w:rsidRDefault="00000000">
      <w:pPr>
        <w:ind w:firstLine="360"/>
      </w:pPr>
      <w:r>
        <w:t xml:space="preserve">I do not hesitate at what is objected from </w:t>
      </w:r>
      <w:r>
        <w:rPr>
          <w:i/>
        </w:rPr>
        <w:t>Epinomis</w:t>
      </w:r>
      <w:r>
        <w:t>, where Plato</w:t>
      </w:r>
      <w:r>
        <w:fldChar w:fldCharType="begin"/>
      </w:r>
      <w:r>
        <w:instrText xml:space="preserve"> XE "Plato" \f "Persons"</w:instrText>
      </w:r>
      <w:r>
        <w:fldChar w:fldCharType="end"/>
      </w:r>
      <w:r>
        <w:t xml:space="preserve"> says the world was created by λόγος with these words: Ταύτῃ μηδεὶς ἄλλος ποτὲ νομίσῃ πάντων ἡμῶν ὡς οἱ μὲν θεοί εἰσιν αὐτῶν, οἱ δʼ οὔ· μηδʼ ὡς οἱ μὲν γνήσιοι, οἱ δὲ τοιοῦτοί τινες οἵους οὐδὲ θέμις εἰπεῖν ἡμῶν οὐδενί. Πάντες δὲ δὴ πάντας λέγωμέν τε καὶ φῶμεν ἀδελφούς τʼ εἶναι καὶ ἐν ἀδελφαῖς μοίραις· καὶ τιμὰς ἀποδιδῶμεν, μὴ τῷ μὲν ἐνιαυτὸν, τῷ δὲ μῆνα, τοῖς δὲ μήτε τινὰ μοἴραν τάττωμεν, μήτε τινὰ χρόνον, ἐν ᾧ διεξέρχεται τὸν αὐτοῦ πόλον, ξυναποτελῶν κόσμον ὃν ἔταξε λόγος ὁ πάντων θειότατος ὁρατόν· ὃν ὁ μὲν εὐδαίμων πρῶτον μὲν ἐθαύμασεν, ἔπειτα δὲ ἔρωτα ἔσχεν τοῦ καταμαθεῖν ὁπόσα θνητῇ φύσει δυνατά.</w:t>
      </w:r>
    </w:p>
    <w:p w14:paraId="2F7DE88A" w14:textId="77777777" w:rsidR="005C2B3E" w:rsidRDefault="00000000">
      <w:pPr>
        <w:ind w:firstLine="360"/>
      </w:pPr>
      <w:r>
        <w:t>“No one at all among us should think that some are gods and others are not; nor that some are genuine gods and others such as it would be wrong for any of us to call gods. But we say that all are brothers and share in brotherly portions; and we give honors, not assigning to some a year, to others a month, and to others no part or time in which they complete their circuit, making up the world which the most divine λόγος has established as visible to all. This world the blessed man first admired, then was filled with desire to learn all that mortal nature can understand.”</w:t>
      </w:r>
    </w:p>
    <w:p w14:paraId="0C4ECC4E" w14:textId="77777777" w:rsidR="005C2B3E" w:rsidRDefault="00000000">
      <w:pPr>
        <w:ind w:firstLine="360"/>
      </w:pPr>
      <w:r>
        <w:t xml:space="preserve">These words, </w:t>
      </w:r>
      <w:r>
        <w:rPr>
          <w:i/>
        </w:rPr>
        <w:t>whom the blessed man first admired</w:t>
      </w:r>
      <w:r>
        <w:t xml:space="preserve">, should be referred not to λόγος but to the world, whose admiration supplies us with the beginnings of learning and the </w:t>
      </w:r>
      <w:r>
        <w:lastRenderedPageBreak/>
        <w:t xml:space="preserve">first elements, which cannot be said of the admiration of divine reason. But that λόγος who created the world does not here designate a person distinct from God the Father any more than in the other passages cited above, or even in this one from </w:t>
      </w:r>
      <w:r>
        <w:rPr>
          <w:i/>
        </w:rPr>
        <w:t>Phaedo</w:t>
      </w:r>
      <w:r>
        <w:t xml:space="preserve"> p. 85: “We must work it out, choosing the best and least refutable of human reasons, and cling to it, so that, as if carried on a raft, we may navigate the dangers of this life; unless someone can be led and carried across by a more certain and safer way, namely by a safer vehicle, or by some divine λόγος,” ἐπὶ βεβαιοτέρου ὀχήματος ἢ λόγου θείου τινος διαπορευθῆναι.</w:t>
      </w:r>
    </w:p>
    <w:p w14:paraId="46007B77" w14:textId="77777777" w:rsidR="005C2B3E" w:rsidRDefault="00000000">
      <w:pPr>
        <w:ind w:firstLine="360"/>
      </w:pPr>
      <w:r>
        <w:t xml:space="preserve">III. It seems closer to the likeness of Christian teaching in the </w:t>
      </w:r>
      <w:r>
        <w:rPr>
          <w:i/>
        </w:rPr>
        <w:t>Letter to Hermias, Erastus</w:t>
      </w:r>
      <w:r>
        <w:fldChar w:fldCharType="begin"/>
      </w:r>
      <w:r>
        <w:instrText xml:space="preserve"> XE "Erastus" \f "Persons"</w:instrText>
      </w:r>
      <w:r>
        <w:fldChar w:fldCharType="end"/>
      </w:r>
      <w:r>
        <w:rPr>
          <w:i/>
        </w:rPr>
        <w:t>, and Coriscus</w:t>
      </w:r>
      <w:r>
        <w:fldChar w:fldCharType="begin"/>
      </w:r>
      <w:r>
        <w:instrText xml:space="preserve"> XE "Coriscus" \f "Persons"</w:instrText>
      </w:r>
      <w:r>
        <w:fldChar w:fldCharType="end"/>
      </w:r>
      <w:r>
        <w:t>, whom he encourages to enter into friendship and confirm it by this oath: Ἐπομνύντας σπουδῇ τε ἅμα μὴ ἀμούσῳ καὶ τῇ τῆς σπουδῆς ἀδελφῇ παιδείᾳ, καὶ τὸν τῶν πάντων Θεὸν ἡγεμόνα τῶν τε ὄντων καὶ τῶν μελλόντων, τοῦ τε ἡγεμόνος καὶ αἰτίου πατέρα κύριον, ἐπομνύντας, ὃν, ἂν ὄντως φιλοσοφῶμεν, εἰσόμεθα πάντες σαφῶς εἰς δύναμιν ἀνθρώπων εὐδαιμόνων.</w:t>
      </w:r>
    </w:p>
    <w:p w14:paraId="1B8D67BD" w14:textId="77777777" w:rsidR="005C2B3E" w:rsidRDefault="00000000">
      <w:pPr>
        <w:ind w:firstLine="360"/>
      </w:pPr>
      <w:r>
        <w:t>“Swearing not without elegant zeal, and with the sister of zeal, discipline, and calling upon the God of all, leader of both beings and those to come, and the leader’s and cause’s father and lord as witness: whom indeed, if we truly philosophize, we shall all clearly know as far as it is right for blessed men.”</w:t>
      </w:r>
    </w:p>
    <w:p w14:paraId="1AD17988" w14:textId="77777777" w:rsidR="005C2B3E" w:rsidRDefault="00000000">
      <w:pPr>
        <w:ind w:firstLine="360"/>
      </w:pPr>
      <w:r>
        <w:t>These words might seem to be about the Word and the Son of God, if that were allowed by Plato</w:t>
      </w:r>
      <w:r>
        <w:fldChar w:fldCharType="begin"/>
      </w:r>
      <w:r>
        <w:instrText xml:space="preserve"> XE "Plato" \f "Persons"</w:instrText>
      </w:r>
      <w:r>
        <w:fldChar w:fldCharType="end"/>
      </w:r>
      <w:r>
        <w:t xml:space="preserve">, who declares God to be the leader of all and the cause, and the interpreter of the world himself. For he speaks thus in </w:t>
      </w:r>
      <w:r>
        <w:rPr>
          <w:i/>
        </w:rPr>
        <w:t>Epinomis</w:t>
      </w:r>
      <w:r>
        <w:t>, p. 1005: Θεὸν δʼ αὐτὸν μᾶλλον ἢ τινὰ τύχην ἡγοῦμαι δόντα ἡμῖν σώζειν ἡμᾶς. Ὃν δὲ Θεὸν ἡγοῦμαι, φράζειν χρὴ, καίπερ ἄτοπον ὄντα, καί πως οὐκ ἄτοπον αὖ. Πῶς γὰρ τῶν ἀγαθῶν αἵτιον ἡμῖν ξυμπάντων, οὐ καὶ τοῦ πολὺ μεγίστου, τῆς φρονήσεως, αἵτιον ἡγεῖσθαι δεῖ γεγονέναι; Τίνα δὲ καὶ σεμνύνων ποτὲ λέγω Θεὸν, ὦ Μέγιλλέ τε καὶ Κλεινία; σχεδὸν οὐρανόν. Ὃν καὶ δικαίοτατον, ὡς ξύμπαντες ἄλλοι δαίμονες ἅμα καὶ θεοὶ, τιμᾷν τε καὶ εὔχεσθαι διαφερόντως αὐτῷ. Τὸ δὲ καὶ τῶν ἄλλων αἴτιον ἀγαθῶν πάντων ἡμῖν αὐτὸν γεγονέναι, πάντες ἂν ὁμολογοῖμεν.</w:t>
      </w:r>
    </w:p>
    <w:p w14:paraId="71300EE6" w14:textId="77777777" w:rsidR="005C2B3E" w:rsidRDefault="00000000">
      <w:pPr>
        <w:ind w:firstLine="360"/>
      </w:pPr>
      <w:r>
        <w:t>“But I consider God himself rather than any chance as the one who gives us salvation. But which God I consider, I must explain, although it is absurd, and yet somehow not absurd. For how could the cause of all good things that happen to us not be considered the greatest cause, that is, of wisdom? And which God do I praise with honor, O Megillus and Cleinias? Almost certainly heaven. And that very just God, as all other demons and gods together, we honor and pray to above all. And we would all agree that he has become the cause of all other good things for us.”</w:t>
      </w:r>
    </w:p>
    <w:p w14:paraId="5BB88C1B" w14:textId="77777777" w:rsidR="005C2B3E" w:rsidRDefault="00000000">
      <w:pPr>
        <w:ind w:firstLine="360"/>
      </w:pPr>
      <w:r>
        <w:lastRenderedPageBreak/>
        <w:t>It is clear that by the name heaven Plato</w:t>
      </w:r>
      <w:r>
        <w:fldChar w:fldCharType="begin"/>
      </w:r>
      <w:r>
        <w:instrText xml:space="preserve"> XE "Plato" \f "Persons"</w:instrText>
      </w:r>
      <w:r>
        <w:fldChar w:fldCharType="end"/>
      </w:r>
      <w:r>
        <w:t xml:space="preserve"> means the world from these words in </w:t>
      </w:r>
      <w:r>
        <w:rPr>
          <w:i/>
        </w:rPr>
        <w:t>Timaeus</w:t>
      </w:r>
      <w:r>
        <w:t>, p. 1047: Ὁ δὴ πᾶς οὐρανὸς ἢ κόσμος, ἢ καὶ ἄλλο, ὅ τί ποτε ὀνομαζόμενος μάλιστʼ ἂν δέχοιτο, τοῦθʼ ἡμῖν ὠνομάσθω.</w:t>
      </w:r>
    </w:p>
    <w:p w14:paraId="51E3E011" w14:textId="77777777" w:rsidR="005C2B3E" w:rsidRDefault="00000000">
      <w:pPr>
        <w:ind w:firstLine="360"/>
      </w:pPr>
      <w:r>
        <w:t>“But let this whole heaven or world, or by whatever other name it might most properly be called, be called by us this.”</w:t>
      </w:r>
    </w:p>
    <w:p w14:paraId="2E17DA79" w14:textId="77777777" w:rsidR="005C2B3E" w:rsidRDefault="00000000">
      <w:pPr>
        <w:ind w:firstLine="360"/>
      </w:pPr>
      <w:r>
        <w:t>Therefore, since the world here is said by Plato</w:t>
      </w:r>
      <w:r>
        <w:fldChar w:fldCharType="begin"/>
      </w:r>
      <w:r>
        <w:instrText xml:space="preserve"> XE "Plato" \f "Persons"</w:instrText>
      </w:r>
      <w:r>
        <w:fldChar w:fldCharType="end"/>
      </w:r>
      <w:r>
        <w:t xml:space="preserve"> to be the cause of all good things and God, and to be worshiped by other gods and demons; the one about whom the same is said in the previous testimony must certainly be considered the world. Indeed, from the later testimony above it seems that it should be corrected to τὸν τῶν πάντων θεῶν ἡγεμόνα, </w:t>
      </w:r>
      <w:r>
        <w:rPr>
          <w:i/>
        </w:rPr>
        <w:t>leader of all gods</w:t>
      </w:r>
      <w:r>
        <w:t xml:space="preserve">, since </w:t>
      </w:r>
      <w:r>
        <w:rPr>
          <w:i/>
        </w:rPr>
        <w:t>all other demons and gods worship him together</w:t>
      </w:r>
      <w:r>
        <w:t xml:space="preserve">. The word αἴτιον seems to be missing, so it should be translated as </w:t>
      </w:r>
      <w:r>
        <w:rPr>
          <w:i/>
        </w:rPr>
        <w:t>cause of those things that are and those that are to come</w:t>
      </w:r>
      <w:r>
        <w:t>. The following phrase, τοῦ τε ἡγεμόνος καὶ αἰτίου πατέρα, proves that the word αἴτιον was omitted.</w:t>
      </w:r>
    </w:p>
    <w:p w14:paraId="642515D1" w14:textId="77777777" w:rsidR="005C2B3E" w:rsidRDefault="00000000">
      <w:pPr>
        <w:ind w:firstLine="360"/>
      </w:pPr>
      <w:r>
        <w:t xml:space="preserve">You will find many other things said about the world in the same sense. In </w:t>
      </w:r>
      <w:r>
        <w:rPr>
          <w:i/>
        </w:rPr>
        <w:t>Timaeus</w:t>
      </w:r>
      <w:r>
        <w:t>, p. 1049: Διὰ πάντα δὴ ταῦτα εὐδαίμονα Θεὸν αὐτὸν ἐγεννήσατο.</w:t>
      </w:r>
    </w:p>
    <w:p w14:paraId="7DC2E629" w14:textId="77777777" w:rsidR="005C2B3E" w:rsidRDefault="00000000">
      <w:pPr>
        <w:ind w:firstLine="360"/>
      </w:pPr>
      <w:r>
        <w:t>“For all these reasons he begot that blessed God.”</w:t>
      </w:r>
    </w:p>
    <w:p w14:paraId="3904C109" w14:textId="77777777" w:rsidR="005C2B3E" w:rsidRPr="00AE0150" w:rsidRDefault="00000000">
      <w:pPr>
        <w:ind w:firstLine="360"/>
        <w:rPr>
          <w:lang w:val="el-GR"/>
        </w:rPr>
      </w:pPr>
      <w:r>
        <w:t>And</w:t>
      </w:r>
      <w:r w:rsidRPr="00AE0150">
        <w:rPr>
          <w:lang w:val="el-GR"/>
        </w:rPr>
        <w:t xml:space="preserve"> </w:t>
      </w:r>
      <w:r>
        <w:t>p</w:t>
      </w:r>
      <w:r w:rsidRPr="00AE0150">
        <w:rPr>
          <w:lang w:val="el-GR"/>
        </w:rPr>
        <w:t>. 1072: Αὐτάρκη τε καὶ τελεώτατον Θεὸν ἐγέννα.</w:t>
      </w:r>
    </w:p>
    <w:p w14:paraId="066E3FC7" w14:textId="77777777" w:rsidR="005C2B3E" w:rsidRDefault="00000000">
      <w:pPr>
        <w:ind w:firstLine="360"/>
      </w:pPr>
      <w:r>
        <w:t>“He begot a God self-sufficient and most perfect for himself.”</w:t>
      </w:r>
    </w:p>
    <w:p w14:paraId="4E917009" w14:textId="77777777" w:rsidR="005C2B3E" w:rsidRDefault="00000000">
      <w:pPr>
        <w:ind w:firstLine="360"/>
      </w:pPr>
      <w:r>
        <w:t>Thus he concludes the dialogue: Θνητὰ γὰρ καὶ ἀθάνατα ζῶα λαβὼν, καὶ ξυμπληρωθεὶς ὅδε ὁ κόσμος, οὕτω ζῶον ὁρατὸν, καὶ ὁρατὰ περιέχων, εἰκὼν τοῦ νοητοῦ Θεοῦ, μέγιστος καὶ ἄριστος κάλλιστός τε καὶ τελεώτατος γέγονεν, εἷς οὐρανὸς ὅδε, μονογενὴς ὤν.</w:t>
      </w:r>
    </w:p>
    <w:p w14:paraId="3C83F2B2" w14:textId="77777777" w:rsidR="005C2B3E" w:rsidRDefault="00000000">
      <w:pPr>
        <w:ind w:firstLine="360"/>
      </w:pPr>
      <w:r>
        <w:t>“For taking mortal and immortal creatures, and being completed, this world thus became a visible living being, containing visible things, an image of the intelligible God, greatest and best, most beautiful and most perfect, this one heaven, being only-begotten.”</w:t>
      </w:r>
    </w:p>
    <w:p w14:paraId="2D025FF2" w14:textId="77777777" w:rsidR="005C2B3E" w:rsidRDefault="00000000">
      <w:pPr>
        <w:ind w:firstLine="360"/>
      </w:pPr>
      <w:r>
        <w:t xml:space="preserve">Likewise, at the beginning of </w:t>
      </w:r>
      <w:r>
        <w:rPr>
          <w:i/>
        </w:rPr>
        <w:t>Timaeus</w:t>
      </w:r>
      <w:r>
        <w:t xml:space="preserve"> of Locri, the world is called </w:t>
      </w:r>
      <w:r>
        <w:rPr>
          <w:i/>
        </w:rPr>
        <w:t>one, only-begotten, God begotten</w:t>
      </w:r>
      <w:r>
        <w:t xml:space="preserve">. From this Velleius, in Cicero’s book i </w:t>
      </w:r>
      <w:r>
        <w:rPr>
          <w:i/>
        </w:rPr>
        <w:t>On the Nature of the Gods</w:t>
      </w:r>
      <w:r>
        <w:t xml:space="preserve">, jokes much about Plato’s </w:t>
      </w:r>
      <w:r>
        <w:rPr>
          <w:i/>
        </w:rPr>
        <w:t>round God</w:t>
      </w:r>
      <w:r>
        <w:t xml:space="preserve">; and concludes that, </w:t>
      </w:r>
      <w:r>
        <w:rPr>
          <w:i/>
        </w:rPr>
        <w:t>if the world is God, parts of God are partly burning and partly cooled</w:t>
      </w:r>
      <w:r>
        <w:t>, because many parts of the world have either burned by the sun’s heat or been frozen by snow and frost far from the sun.</w:t>
      </w:r>
    </w:p>
    <w:p w14:paraId="4F27931E" w14:textId="77777777" w:rsidR="005C2B3E" w:rsidRPr="00AE0150" w:rsidRDefault="00000000">
      <w:pPr>
        <w:ind w:firstLine="360"/>
        <w:rPr>
          <w:lang w:val="el-GR"/>
        </w:rPr>
      </w:pPr>
      <w:r>
        <w:t>IV. Plato</w:t>
      </w:r>
      <w:r>
        <w:fldChar w:fldCharType="begin"/>
      </w:r>
      <w:r>
        <w:instrText xml:space="preserve"> XE "Plato" \f "Persons"</w:instrText>
      </w:r>
      <w:r>
        <w:fldChar w:fldCharType="end"/>
      </w:r>
      <w:r>
        <w:t xml:space="preserve"> put these things into the opinions and bombastic words of the similarity of the world with God, which he had invented for himself. Indeed, he taught excellently and clearly that God created all things according to the pattern of his ideas, and that nothing exists in the world that does not correspond to a divine idea. But he foolishly </w:t>
      </w:r>
      <w:r>
        <w:lastRenderedPageBreak/>
        <w:t xml:space="preserve">and absurdly imagined the world to be an exact image of the divine essence, arranged according to all numbers, and that there is nothing in God of which some clear image is not expressed in the world. Thus he speaks, p. 1047: Λέγωμεν δὲ διʼ ἥν αἰτίαν γένεσιν καὶ τὸ πᾶν τόδε ὁ ξυνιστὰς ξυνέστησεν. Ἀγαθὸς ἦν, ἀγαθῷ δὲ οὐδεὶς περὶ οὐδενὸς οὐδέποτε ἐγγίγνεται φθόνος. </w:t>
      </w:r>
      <w:r w:rsidRPr="00AE0150">
        <w:rPr>
          <w:lang w:val="el-GR"/>
        </w:rPr>
        <w:t>Τούτου δʼ ἐκτὸς ὢν πάντα ὅτι μάλιστα ἐβουλήθη γενέσθαι παραπλήσια αὐτῷ.</w:t>
      </w:r>
    </w:p>
    <w:p w14:paraId="3C43B553" w14:textId="77777777" w:rsidR="005C2B3E" w:rsidRDefault="00000000">
      <w:pPr>
        <w:ind w:firstLine="360"/>
      </w:pPr>
      <w:r>
        <w:t>“But let us say for what cause the author of the world made the generation and established this whole universe. He was good; and no one ever has envy toward a good thing about anything. Being without this, he wished that all things become as similar to him as possible.”</w:t>
      </w:r>
    </w:p>
    <w:p w14:paraId="0C8FF950" w14:textId="77777777" w:rsidR="005C2B3E" w:rsidRDefault="00000000">
      <w:pPr>
        <w:ind w:firstLine="360"/>
      </w:pPr>
      <w:r>
        <w:t>In this opinion about the world, the problem seemed to be that the world is created, but God is eternal, and therefore what began to exist cannot be an image of the eternal. Plato</w:t>
      </w:r>
      <w:r>
        <w:fldChar w:fldCharType="begin"/>
      </w:r>
      <w:r>
        <w:instrText xml:space="preserve"> XE "Plato" \f "Persons"</w:instrText>
      </w:r>
      <w:r>
        <w:fldChar w:fldCharType="end"/>
      </w:r>
      <w:r>
        <w:t xml:space="preserve"> meets this problem as follows, p. 1052: Ὡς δὲ κινηθέν τε αὐτὸ καὶ ζῶν ἐνενόησε τῶν ἀῖδίων θεῶν γεγονὸς ἄγαλμα ὁ γεννήσας πατὴρ, ἠγάσθη τε, καὶ εὐφρανθεὶς, ἔτι δὴ μᾶλλον ὅμοιον πρὸς τὸ παράδειγμα ἐπενόησεν ἀπεργάσασθαι.</w:t>
      </w:r>
    </w:p>
    <w:p w14:paraId="0A5C2278" w14:textId="77777777" w:rsidR="005C2B3E" w:rsidRDefault="00000000">
      <w:pPr>
        <w:ind w:firstLine="360"/>
      </w:pPr>
      <w:r>
        <w:t>“After he noticed that it was moved and living, the father who begot it, seeing that it was a statue made by the immortal gods, was pleased and delighted, and thought to make it even more like the model. Just as the model itself is an eternal living being, so this whole universe tried to become such as much as possible. The nature of the living being was eternal, and this could not be fully applied to the created thing. Therefore, he imagined some moving image of eternity; and while decorating the heaven, he made an eternal image of eternity, progressing in number in one, moving heaven, which we called time.”</w:t>
      </w:r>
    </w:p>
    <w:p w14:paraId="0BA3161C" w14:textId="77777777" w:rsidR="005C2B3E" w:rsidRDefault="00000000">
      <w:pPr>
        <w:ind w:firstLine="360"/>
      </w:pPr>
      <w:r>
        <w:t>And not long after: Χρόνος δʼ οὖν μετʼ οὐρανοῦ γέγονεν, ἵνα ἅμα γεννηθέντες, ἅμα καὶ λυθῶσιν, ἄν ποτε λύσις τις αὐτῶν γένηται, καὶ κατὰ τὸ παράδειγμα τῆς αἰωνίου φύσεως· ἵνʼ ὡς ὁμοιότατος αὐτῷ κατὰ δύναμιν ᾖ. Τὸ μὲν γὰρ δὴ παράδειγμα, πάντα αἰῶνά ἐστιν ὄν· ὁ δʼ αὖ διὰ τέλους τὸν ἅπαντα χρόνον γεγονώς τε καὶ ὢν καὶ ἐσόμενός ἐστι μόνος.</w:t>
      </w:r>
    </w:p>
    <w:p w14:paraId="0A93F2B6" w14:textId="77777777" w:rsidR="005C2B3E" w:rsidRDefault="00000000">
      <w:pPr>
        <w:ind w:firstLine="360"/>
      </w:pPr>
      <w:r>
        <w:t>“Time therefore was created together with heaven, so that those things born together might also dissolve together, if ever any dissolution of them should happen, and according to the model of eternal nature; so that the world might be as like it as possible in power. For the model is eternal throughout all time; but the world alone was, is, and will be through all time.”</w:t>
      </w:r>
    </w:p>
    <w:p w14:paraId="68D2EEFB" w14:textId="77777777" w:rsidR="005C2B3E" w:rsidRDefault="00000000">
      <w:pPr>
        <w:ind w:firstLine="360"/>
      </w:pPr>
      <w:r>
        <w:t xml:space="preserve">Thus, with time created so that the world </w:t>
      </w:r>
      <w:r>
        <w:rPr>
          <w:i/>
        </w:rPr>
        <w:t>might imitate the most perfect and intelligible animal, with an eternal nature;</w:t>
      </w:r>
      <w:r>
        <w:t xml:space="preserve"> yet this likeness, according to Plato</w:t>
      </w:r>
      <w:r>
        <w:fldChar w:fldCharType="begin"/>
      </w:r>
      <w:r>
        <w:instrText xml:space="preserve"> XE "Plato" \f "Persons"</w:instrText>
      </w:r>
      <w:r>
        <w:fldChar w:fldCharType="end"/>
      </w:r>
      <w:r>
        <w:t xml:space="preserve">’s judgment, would have been incomplete and imperfect unless as many species of animals corresponding to the ideas of the eternal animal had been created in the world. </w:t>
      </w:r>
      <w:r>
        <w:lastRenderedPageBreak/>
        <w:t>He explains the matter thus: Τῷ δὲ μήπω τὰ πάντα ζῶα ἐντὸς αὐτοῦ γεγενημένα περιειληφέναι, ταύτῃ ἔτι εἷχεν ἀνομοίως. Τοῦτο δὴ τὸ κατάλοιπον ἀπειργάζετο αὐτοῦ πρὸς τὴν τοῦ παραδείγματος ἀποτυπούμενος φύσιν· ᾖπερ οὖν νοῦς ἐνούσας ἰδέας τῷ ὅ ἐστι ζῶον, οἷαί τε ἔνεισι καὶ ὅσαι καθορᾷ, τοιαύτας καὶ τοσαύτας διενοήθη δεῖν καὶ τόδε σχεῖν.</w:t>
      </w:r>
    </w:p>
    <w:p w14:paraId="7F26FC3B" w14:textId="77777777" w:rsidR="005C2B3E" w:rsidRDefault="00000000">
      <w:pPr>
        <w:ind w:firstLine="360"/>
      </w:pPr>
      <w:r>
        <w:t>“But because not all animals born within it were yet contained, it was still unlike. What was lacking, God completed by expressing the nature of the model in imitation. Therefore, insofar as the mind perceives the ideas inherent in what is an animal, such and as many as it sees, it judged that such and so many must also exist in the world.”</w:t>
      </w:r>
    </w:p>
    <w:p w14:paraId="15A7569A" w14:textId="77777777" w:rsidR="005C2B3E" w:rsidRDefault="00000000">
      <w:pPr>
        <w:ind w:firstLine="360"/>
      </w:pPr>
      <w:r>
        <w:t>Above, Timaeus of Locri said that the world is perfect because its model, which contains all intelligible things in itself, leaves nothing out, but is the perfect limit of intelligible things, just as this world is of sensible things.</w:t>
      </w:r>
    </w:p>
    <w:p w14:paraId="4FB20C77" w14:textId="77777777" w:rsidR="005C2B3E" w:rsidRPr="00AE0150" w:rsidRDefault="00000000">
      <w:pPr>
        <w:ind w:firstLine="360"/>
        <w:rPr>
          <w:lang w:val="el-GR"/>
        </w:rPr>
      </w:pPr>
      <w:r>
        <w:t>V. I come to the most famous testimony from Plato</w:t>
      </w:r>
      <w:r>
        <w:fldChar w:fldCharType="begin"/>
      </w:r>
      <w:r>
        <w:instrText xml:space="preserve"> XE "Plato" \f "Persons"</w:instrText>
      </w:r>
      <w:r>
        <w:fldChar w:fldCharType="end"/>
      </w:r>
      <w:r>
        <w:t xml:space="preserve">’s second letter, which both Justin in </w:t>
      </w:r>
      <w:r>
        <w:rPr>
          <w:i/>
        </w:rPr>
        <w:t>Apol.</w:t>
      </w:r>
      <w:r>
        <w:t xml:space="preserve"> 1 and many others after him have cited, and Clericus</w:t>
      </w:r>
      <w:r>
        <w:fldChar w:fldCharType="begin"/>
      </w:r>
      <w:r>
        <w:instrText xml:space="preserve"> XE "Clericus" \f "Persons"</w:instrText>
      </w:r>
      <w:r>
        <w:fldChar w:fldCharType="end"/>
      </w:r>
      <w:r>
        <w:t xml:space="preserve"> thinks Christians have forged. Dionysius</w:t>
      </w:r>
      <w:r>
        <w:fldChar w:fldCharType="begin"/>
      </w:r>
      <w:r>
        <w:instrText xml:space="preserve"> XE "Dionysius" \f "Persons"</w:instrText>
      </w:r>
      <w:r>
        <w:fldChar w:fldCharType="end"/>
      </w:r>
      <w:r>
        <w:t xml:space="preserve"> had indicated that Plato, through Archedemus, did not fully satisfy him with the demonstration </w:t>
      </w:r>
      <w:r>
        <w:rPr>
          <w:i/>
        </w:rPr>
        <w:t>about the nature of the first</w:t>
      </w:r>
      <w:r>
        <w:t xml:space="preserve"> established by Plato. Plato responds thus: Φραστέον δή σοι διʼ αἰνιγμῶν· ἵνʼ ἄν τι ἡ δέλτος ἢ πόντου ἢ γῆς ἐν πτυχαῖς πάθῃ, ὁ ἁναγνοὺς μὴ γνῷ. Ὧδε γὰρ ἔχει· περὶ τὸν πάντων βασιλέα πάντα ἐστὶ καὶ ἐκείνου ἕνεκα πάντα· καὶ ἐκεῖνο αῖτιον ἁπάντων τῶν καλῶν. </w:t>
      </w:r>
      <w:r w:rsidRPr="00AE0150">
        <w:rPr>
          <w:lang w:val="el-GR"/>
        </w:rPr>
        <w:t>Δεύτερον δὲ περὶ τὰ δεύτερα, καὶ τρίτον περὶ τὰ τρίτα. Ἡ οὖν ἀνθρωπίνη ψυχὴ περὶ αὐτὰ ὀρέγεται μαθεῖν ποῖα ἄττα ἐστὶ, βλέπουσα εἰς τὰ αὐτῆς συγγενῆ, ὧν οὐδὲν ἱκανῶς ἕχει. Τοῦ δὲ βασιλέως πέρι καὶ ὧν εἷπον, οὐδέν ἐστι τοιοῦτο.</w:t>
      </w:r>
    </w:p>
    <w:p w14:paraId="7C9505BF" w14:textId="77777777" w:rsidR="005C2B3E" w:rsidRDefault="00000000">
      <w:pPr>
        <w:ind w:firstLine="360"/>
      </w:pPr>
      <w:r>
        <w:t>“It must be said to you in riddles: so that if anything happens to this tablet or to the sea or to the earth in folds, the reader might not understand. For it is thus: around the king of all things, all things exist and all things are for his sake; and he is the cause of all good things. Second are the second things, and third are the third things. Therefore, the human soul desires to learn what these things are, looking at those related to it, of which none is sufficiently fitting. But concerning the king and those things I mentioned, there is nothing of this sort.”</w:t>
      </w:r>
    </w:p>
    <w:p w14:paraId="7C0A6C64" w14:textId="77777777" w:rsidR="005C2B3E" w:rsidRDefault="00000000">
      <w:pPr>
        <w:ind w:firstLine="360"/>
      </w:pPr>
      <w:r>
        <w:t>It matters little to investigate the meaning of this passage, which Plato</w:t>
      </w:r>
      <w:r>
        <w:fldChar w:fldCharType="begin"/>
      </w:r>
      <w:r>
        <w:instrText xml:space="preserve"> XE "Plato" \f "Persons"</w:instrText>
      </w:r>
      <w:r>
        <w:fldChar w:fldCharType="end"/>
      </w:r>
      <w:r>
        <w:t xml:space="preserve"> himself seems to have deliberately wrapped in certain coverings. However, it appears to indicate nothing else than what he often discussed elsewhere about the various ways of knowing. In book six of </w:t>
      </w:r>
      <w:r>
        <w:rPr>
          <w:i/>
        </w:rPr>
        <w:t>The Republic</w:t>
      </w:r>
      <w:r>
        <w:t xml:space="preserve">, he distinguishes two kinds of beings, visible and invisible, and a twofold way of knowing each. In the visible kind, he places </w:t>
      </w:r>
      <w:r>
        <w:rPr>
          <w:i/>
        </w:rPr>
        <w:t>images or shadows and likenesses</w:t>
      </w:r>
      <w:r>
        <w:t xml:space="preserve">, and the very things that these images represent, so that </w:t>
      </w:r>
      <w:r>
        <w:rPr>
          <w:i/>
        </w:rPr>
        <w:t>just as opinion relates to knowledge, so does an image relate to that of which it is an image.</w:t>
      </w:r>
      <w:r>
        <w:t xml:space="preserve"> In the invisible kind, he likewise distinguishes two ways of knowing: </w:t>
      </w:r>
      <w:r>
        <w:rPr>
          <w:i/>
        </w:rPr>
        <w:t xml:space="preserve">one in which the </w:t>
      </w:r>
      <w:r>
        <w:rPr>
          <w:i/>
        </w:rPr>
        <w:lastRenderedPageBreak/>
        <w:t>soul uses assumptions and images to investigate the invisible species; the other when the mind considers the species themselves without images.</w:t>
      </w:r>
      <w:r>
        <w:t xml:space="preserve"> After explaining these a little more fully, he finally concludes thus: Καί μοι ἐπὶ τοῖς τέτταρσι τμήμασι τέτταρα ταῦτα παθήματα ἐν τῇ ψυχῇ γινόμενα λάβε. Νόησιν μὲν ἐπὶ τῷ ἀνωτάτῳ· διάνοιαν δὲ ἐπὶ τῷ δευτέρῳ· τῷ τρίτῳ δὲ πίστιν ἀπόδος, καὶ τῷ τελευταίῳ εἰκασίαν.</w:t>
      </w:r>
    </w:p>
    <w:p w14:paraId="36ED29D8" w14:textId="77777777" w:rsidR="005C2B3E" w:rsidRDefault="00000000">
      <w:pPr>
        <w:ind w:firstLine="360"/>
      </w:pPr>
      <w:r>
        <w:t>“To these four proportions assign also four affections of the soul. Assign intelligence to the highest, thought to the second, belief to the third, and to the last, assimilation or imagination.” He teaches the same in book seven, p. 705.</w:t>
      </w:r>
    </w:p>
    <w:p w14:paraId="436B2480" w14:textId="77777777" w:rsidR="005C2B3E" w:rsidRDefault="00000000">
      <w:pPr>
        <w:ind w:firstLine="360"/>
      </w:pPr>
      <w:r>
        <w:t>The letter to Dionysius seems to indicate these modes of knowing. For it does not have a triad, but a tetrad. The first kind of knowing, and by far the most excellent, is involved in the consideration of the being itself. This happens only to the wise, who, as Plato</w:t>
      </w:r>
      <w:r>
        <w:fldChar w:fldCharType="begin"/>
      </w:r>
      <w:r>
        <w:instrText xml:space="preserve"> XE "Plato" \f "Persons"</w:instrText>
      </w:r>
      <w:r>
        <w:fldChar w:fldCharType="end"/>
      </w:r>
      <w:r>
        <w:t xml:space="preserve"> says in book seven of </w:t>
      </w:r>
      <w:r>
        <w:rPr>
          <w:i/>
        </w:rPr>
        <w:t>The Republic</w:t>
      </w:r>
      <w:r>
        <w:t xml:space="preserve">, behold the good itself and use it as a model. The second kind of knowing concerns the second things; namely, when the mind, as Plato observes in book six of </w:t>
      </w:r>
      <w:r>
        <w:rPr>
          <w:i/>
        </w:rPr>
        <w:t>The Republic</w:t>
      </w:r>
      <w:r>
        <w:t xml:space="preserve"> regarding geometry and similar arts, uses images and assumptions to investigate being. The third concerns the third things, when in visible things we grasp not shadows and images, but the things themselves; from this Plato declares belief is produced. The fourth kind of knowing, which is εἰκασία or imagination and assimilation, is not obscurely mentioned in the letter to Dionysius, where the mind eager to learn is said to look only at those things known to itself; which mode of knowing, in Plato’s judgment, greatly concedes to the others. Therefore, here one should not seek a triad but a Pythagorean tetrad, which is explained from four modes of knowing by Plutarch</w:t>
      </w:r>
      <w:r>
        <w:fldChar w:fldCharType="begin"/>
      </w:r>
      <w:r>
        <w:instrText xml:space="preserve"> XE "Plutarch" \f "Persons"</w:instrText>
      </w:r>
      <w:r>
        <w:fldChar w:fldCharType="end"/>
      </w:r>
      <w:r>
        <w:t xml:space="preserve"> in book one of </w:t>
      </w:r>
      <w:r>
        <w:rPr>
          <w:i/>
        </w:rPr>
        <w:t>On the Opinions of the Philosophers</w:t>
      </w:r>
      <w:r>
        <w:t>: Ἡ ἡμετέρα ψυχὴ, φησὶν, ἐκ τετράδος σύγκειται· εἶναι γὰρ νοῦν, ἐπιστήμην, δόξαν, αἴσθησιν, ἐξ ὧν πᾶσα τέχνη καὶ ἐπιστήμη, καὶ ἡμεῖς λογικοί ἐσμεν.</w:t>
      </w:r>
    </w:p>
    <w:p w14:paraId="006424F6" w14:textId="77777777" w:rsidR="005C2B3E" w:rsidRDefault="00000000">
      <w:pPr>
        <w:ind w:firstLine="360"/>
      </w:pPr>
      <w:r>
        <w:t>“Our soul consists of a tetrad: for it is mind, knowledge, opinion, and sense, from which all art and science arise, and we ourselves are rational beings.”</w:t>
      </w:r>
    </w:p>
    <w:p w14:paraId="1CEA9868" w14:textId="77777777" w:rsidR="005C2B3E" w:rsidRDefault="00000000">
      <w:pPr>
        <w:ind w:firstLine="360"/>
      </w:pPr>
      <w:r>
        <w:t xml:space="preserve">VI. Another passage from book six of </w:t>
      </w:r>
      <w:r>
        <w:rPr>
          <w:i/>
        </w:rPr>
        <w:t>The Republic</w:t>
      </w:r>
      <w:r>
        <w:t xml:space="preserve"> must not be overlooked, which is cited by Eusebius</w:t>
      </w:r>
      <w:r>
        <w:fldChar w:fldCharType="begin"/>
      </w:r>
      <w:r>
        <w:instrText xml:space="preserve"> XE "Eusebius" \f "Persons"</w:instrText>
      </w:r>
      <w:r>
        <w:fldChar w:fldCharType="end"/>
      </w:r>
      <w:r>
        <w:t xml:space="preserve"> in </w:t>
      </w:r>
      <w:r>
        <w:rPr>
          <w:i/>
        </w:rPr>
        <w:t>Preparation for the Gospel</w:t>
      </w:r>
      <w:r>
        <w:t>, book two, chapter 21. Socrates</w:t>
      </w:r>
      <w:r>
        <w:fldChar w:fldCharType="begin"/>
      </w:r>
      <w:r>
        <w:instrText xml:space="preserve"> XE "Socrates" \f "Persons"</w:instrText>
      </w:r>
      <w:r>
        <w:fldChar w:fldCharType="end"/>
      </w:r>
      <w:r>
        <w:t xml:space="preserve"> speaks thus: Ἆρʼ οὖν οὐ καὶ ὁ ἥλιος ὄψις μὲν οὐκ ἔστιν, αἵτιος δʼ ὢν αὐτῆς ὁρᾶται ὑπʼ αὐτῆς ταύτης; Οὕτως, ᾖ δʼ ὅς. Τοῦτον τοίνυν (ἦν δὲ ἐγὼ) φάναι με λέγειν τὸν τοῦ ἀγαθοῦ ἔκγονον, ὃν τἀγαθὸν ἐγέννησεν ἀνάλογον ἑαυτῷ, ὅ τί περ αὐτὸ ἐν τῷ νοητῷ τόπῳ πρός τε νοῦν καὶ τὰ νοούμενα, τοῦτο τοῦτον ἐν τῷ ὁρατῷ πρός τε ὄψιν καὶ τὰ ὁρώμενα.</w:t>
      </w:r>
    </w:p>
    <w:p w14:paraId="6EE5999C" w14:textId="77777777" w:rsidR="005C2B3E" w:rsidRDefault="00000000">
      <w:pPr>
        <w:ind w:firstLine="360"/>
      </w:pPr>
      <w:r>
        <w:t xml:space="preserve">“Is not then the sun itself not sight, yet being the cause of sight, it is seen by that very sight? Certainly, he said. Therefore, I said, accept my view about that offspring of the good, which the good produced similar to itself: just as that good is in the </w:t>
      </w:r>
      <w:r>
        <w:lastRenderedPageBreak/>
        <w:t>intelligible place related to mind and the things understood, so that sun is in the visible place related to sight and the things seen.”</w:t>
      </w:r>
    </w:p>
    <w:p w14:paraId="7942D700" w14:textId="77777777" w:rsidR="005C2B3E" w:rsidRDefault="00000000">
      <w:pPr>
        <w:ind w:firstLine="360"/>
      </w:pPr>
      <w:r>
        <w:t>At first sight, Plato</w:t>
      </w:r>
      <w:r>
        <w:fldChar w:fldCharType="begin"/>
      </w:r>
      <w:r>
        <w:instrText xml:space="preserve"> XE "Plato" \f "Persons"</w:instrText>
      </w:r>
      <w:r>
        <w:fldChar w:fldCharType="end"/>
      </w:r>
      <w:r>
        <w:t xml:space="preserve"> seems to attribute a son to God, whom God has begotten similar to himself: but if we consider what follows and what precedes, it will be clear that Plato is not speaking about the Son of God, but about the knowledge and truth that God produces in us.</w:t>
      </w:r>
    </w:p>
    <w:p w14:paraId="143F1968" w14:textId="77777777" w:rsidR="005C2B3E" w:rsidRDefault="00000000">
      <w:pPr>
        <w:ind w:firstLine="360"/>
      </w:pPr>
      <w:r>
        <w:t>Socrates does not dare to explain what good is (a name by which no one would deny God is designated), deterred by the difficulty of the matter; yet he attempts to explain its offspring or birth, “and what that offspring is, most like to it,” ὂς δὲ ἔκγονος τοῦ ἀγαθοῦ φαίνεται καὶ ὁμοιότατος ἐκείνῳ. To explain this offspring and product, the birth and fruit of the good, he decides that those things which seem to be least understood—ideas indeed are understood, but least of all seen—are involved: and that of all the senses, sight is the most excellent; and just as no one can see unless that light shines forth, which alone the sun among the heavenly gods produces, so also nothing can be understood without that offspring of God; because God provides the same in things understood as the sun does in those things which are seen. When asked to explain the matter more clearly, he clings to the same example, and just as the eyes are blinded when turned to things covered by the darkness of night, but differently when turned to those illuminated by the sun, so he decides the soul must be judged. “For when,” he says, “it is carried to where truth and being itself shines forth, it understands that, knows it, and seems to have a mind. But when it is turned to that which is covered by darkness, which is born and perishes, it forms opinions and is blind, changing opinions up and down, and is like one lacking mind. Therefore, say that the idea of good is that which grants both truth in knowing things and virtue to the knower, the cause of knowledge and truth, which is known by the mind.”</w:t>
      </w:r>
    </w:p>
    <w:p w14:paraId="53BE6EBE" w14:textId="77777777" w:rsidR="005C2B3E" w:rsidRDefault="00000000">
      <w:pPr>
        <w:ind w:firstLine="360"/>
      </w:pPr>
      <w:r>
        <w:t>That offspring of God, therefore, is nothing other than knowledge and truth, which are begotten by God as light is by the sun. For he sets the same order between the good and its offspring, truth and knowledge, as between the sun and light; and just as light and sight are indeed ἠλιοειδῆ, that is, they have a form adapted to the brightness of the sun, yet they are not the sun itself; so he declares that truth and knowledge are indeed ἀγαθοειδῆ, that is, they have the form of the good, but yet are not the good itself. He adds that just as the sun grants to those things that are seen not only that they may be seen, but also to generate, increase, and nourish them, although it itself is not generation; so the good grants to those things that are known not only that they may be known, but also to give them their very essence, although it itself is not essence at all, but surpasses essence in dignity and power.</w:t>
      </w:r>
    </w:p>
    <w:p w14:paraId="4BAB3F32" w14:textId="77777777" w:rsidR="005C2B3E" w:rsidRDefault="00000000">
      <w:pPr>
        <w:ind w:firstLine="360"/>
      </w:pPr>
      <w:r>
        <w:t>VII. To this way of interpreting Plato</w:t>
      </w:r>
      <w:r>
        <w:fldChar w:fldCharType="begin"/>
      </w:r>
      <w:r>
        <w:instrText xml:space="preserve"> XE "Plato" \f "Persons"</w:instrText>
      </w:r>
      <w:r>
        <w:fldChar w:fldCharType="end"/>
      </w:r>
      <w:r>
        <w:t xml:space="preserve"> is added the authority of the ancient writers who were most familiar with his books. For you will find no passage about this Son of </w:t>
      </w:r>
      <w:r>
        <w:lastRenderedPageBreak/>
        <w:t>God either in Cicero</w:t>
      </w:r>
      <w:r>
        <w:fldChar w:fldCharType="begin"/>
      </w:r>
      <w:r>
        <w:instrText xml:space="preserve"> XE "Cicero" \f "Persons"</w:instrText>
      </w:r>
      <w:r>
        <w:fldChar w:fldCharType="end"/>
      </w:r>
      <w:r>
        <w:t xml:space="preserve"> or in Plutarch</w:t>
      </w:r>
      <w:r>
        <w:fldChar w:fldCharType="begin"/>
      </w:r>
      <w:r>
        <w:instrText xml:space="preserve"> XE "Plutarch" \f "Persons"</w:instrText>
      </w:r>
      <w:r>
        <w:fldChar w:fldCharType="end"/>
      </w:r>
      <w:r>
        <w:t xml:space="preserve">, who examined Plato’s teaching in every detail, nor in other writers who discuss the opinions of philosophers. No one at all is mentioned among the pagan philosophers who either followed or opposed this opinion about the Word, the Son of God, before the later Platonists arose. Cicero, in book 2 of </w:t>
      </w:r>
      <w:r>
        <w:rPr>
          <w:i/>
        </w:rPr>
        <w:t>De legibus</w:t>
      </w:r>
      <w:r>
        <w:t xml:space="preserve">, considers the true law to be “the mind of God, either compelling or forbidding all things by reason.” A little later, about the same law, he says: “The law does not begin to be law when it is written, but when it arises. And it arises at the same time as the divine mind. Therefore, the true and chief law, fit for commanding and forbidding, is the right reason of highest Jupiter.” You see that Cicero, even when he sets Plato as his model, does not even suspect λόγος or reason to be the Son of God. Plutarch, in the book </w:t>
      </w:r>
      <w:r>
        <w:rPr>
          <w:i/>
        </w:rPr>
        <w:t>De placitis philosophorum</w:t>
      </w:r>
      <w:r>
        <w:t>, lists three principles of Plato: God, matter, and idea. And he thinks that idea is nothing other than the incorporeal essence existing ἐν νοήμασι καὶ φαντασίαις of God; in this he differs greatly from Clericus</w:t>
      </w:r>
      <w:r>
        <w:fldChar w:fldCharType="begin"/>
      </w:r>
      <w:r>
        <w:instrText xml:space="preserve"> XE "Clericus" \f "Persons"</w:instrText>
      </w:r>
      <w:r>
        <w:fldChar w:fldCharType="end"/>
      </w:r>
      <w:r>
        <w:t xml:space="preserve"> and others of that sort, who want to make the idea in Plato a substance separate and distinct from God.</w:t>
      </w:r>
    </w:p>
    <w:p w14:paraId="03A448A5" w14:textId="77777777" w:rsidR="005C2B3E" w:rsidRDefault="00000000">
      <w:pPr>
        <w:ind w:firstLine="360"/>
      </w:pPr>
      <w:r>
        <w:t>Celsus</w:t>
      </w:r>
      <w:r>
        <w:fldChar w:fldCharType="begin"/>
      </w:r>
      <w:r>
        <w:instrText xml:space="preserve"> XE "Celsus" \f "Persons"</w:instrText>
      </w:r>
      <w:r>
        <w:fldChar w:fldCharType="end"/>
      </w:r>
      <w:r>
        <w:t xml:space="preserve"> declares, according to Origen</w:t>
      </w:r>
      <w:r>
        <w:fldChar w:fldCharType="begin"/>
      </w:r>
      <w:r>
        <w:instrText xml:space="preserve"> XE "Origen" \f "Persons"</w:instrText>
      </w:r>
      <w:r>
        <w:fldChar w:fldCharType="end"/>
      </w:r>
      <w:r>
        <w:t>, that God himself is the reason of all things, as is clear from these words reported by Origen in book 5, page 240: Σάρκα δὴ μεστὴν ὧν οὐδὲ εἰπεῖν καλὸν, αἰώνιον ἀποφῆναι παραλόγως οὔτε βουλήσεται ὁ Θεὸς, οὔτε δυνήσεται. For he says: “To say that flesh full of things not even proper to name is eternal is unreasonable; neither will God wish this, nor will he be able. For he himself is the λόγος of all beings; therefore he is not able to act unreasonably, nor against himself.” Origen explains the difference between Christian teaching and the opinion of Celsus on page 246: Ἀλλὰ καὶ ὁ τῶν πάντων λόγος ἐστὶ, κατὰ μὲν Κέλσον, αὐτὸς ὁ Θεός· κατὰ δὲ ἡμᾶς, ὁ Υἱὸς αὐτοῦ. “But the λόγος of all things is, according to Celsus, God himself; according to us, his Son.”</w:t>
      </w:r>
    </w:p>
    <w:p w14:paraId="50838F7F" w14:textId="77777777" w:rsidR="005C2B3E" w:rsidRDefault="00000000">
      <w:pPr>
        <w:ind w:firstLine="360"/>
      </w:pPr>
      <w:r>
        <w:t>The same Celsus</w:t>
      </w:r>
      <w:r>
        <w:fldChar w:fldCharType="begin"/>
      </w:r>
      <w:r>
        <w:instrText xml:space="preserve"> XE "Celsus" \f "Persons"</w:instrText>
      </w:r>
      <w:r>
        <w:fldChar w:fldCharType="end"/>
      </w:r>
      <w:r>
        <w:t>, although he often says that Christians drew much from Plato</w:t>
      </w:r>
      <w:r>
        <w:fldChar w:fldCharType="begin"/>
      </w:r>
      <w:r>
        <w:instrText xml:space="preserve"> XE "Plato" \f "Persons"</w:instrText>
      </w:r>
      <w:r>
        <w:fldChar w:fldCharType="end"/>
      </w:r>
      <w:r>
        <w:t>, nowhere mentions their doctrine about the Word, which he repeats six hundred times, among these thefts. Indeed, he was completely unaware that Plato had spoken about the Son of God. For he says that Christians, despising others unfairly, are full of lofty and empty hope, as if they had learned certain magnificent things and proclaimed some of them as true; but that Plato taught these things long before; yet he neither speaks lavishly nor, when asked what this promise means, shows silence or commands that they believe from the trace that God is such, that the Son is such, and that he has come down and spoken with him, page 280.</w:t>
      </w:r>
    </w:p>
    <w:p w14:paraId="6224E5C2" w14:textId="77777777" w:rsidR="005C2B3E" w:rsidRDefault="00000000">
      <w:pPr>
        <w:ind w:firstLine="360"/>
      </w:pPr>
      <w:r>
        <w:t>Celsus</w:t>
      </w:r>
      <w:r>
        <w:fldChar w:fldCharType="begin"/>
      </w:r>
      <w:r>
        <w:instrText xml:space="preserve"> XE "Celsus" \f "Persons"</w:instrText>
      </w:r>
      <w:r>
        <w:fldChar w:fldCharType="end"/>
      </w:r>
      <w:r>
        <w:t xml:space="preserve"> was not unaware that some things about the Son of God were read in Plato</w:t>
      </w:r>
      <w:r>
        <w:fldChar w:fldCharType="begin"/>
      </w:r>
      <w:r>
        <w:instrText xml:space="preserve"> XE "Plato" \f "Persons"</w:instrText>
      </w:r>
      <w:r>
        <w:fldChar w:fldCharType="end"/>
      </w:r>
      <w:r>
        <w:t xml:space="preserve">; but he thinks that by the name “son” the world is meant. Thus he speaks in Origen, book 5, page 308: Ὁπόθεν δὲ καὶ αὐτὸ τοῦτο ἐπῆλθεν αὐτοῖς Θεοῦ Υἱὸν καλεῖν σημαίνω. Ἄνδρες παλαιοὶ τόνδε τὸν κόσμον, ὡς ἐκ Θεοῦ γενόμενον, παῖδά τε αὐτοῦ </w:t>
      </w:r>
      <w:r>
        <w:lastRenderedPageBreak/>
        <w:t>καὶ ἠίθεον προσεῖπον. Πάνυ γοῦν ὅμοιος οὗτος κἀκεῖνος παῖς. “From which also I will show how this very thing came into their minds to call him the Son of God. The ancients called this world, as born from God, his son and like God. Indeed, a very great similarity exists between this and that Son of God.”</w:t>
      </w:r>
    </w:p>
    <w:p w14:paraId="3C8F2F86" w14:textId="77777777" w:rsidR="005C2B3E" w:rsidRDefault="00000000">
      <w:pPr>
        <w:ind w:firstLine="360"/>
      </w:pPr>
      <w:r>
        <w:t>VIII. Therefore, those new Plato</w:t>
      </w:r>
      <w:r>
        <w:fldChar w:fldCharType="begin"/>
      </w:r>
      <w:r>
        <w:instrText xml:space="preserve"> XE "Plato" \f "Persons"</w:instrText>
      </w:r>
      <w:r>
        <w:fldChar w:fldCharType="end"/>
      </w:r>
      <w:r>
        <w:t>nists, who added two other persons of far lower substance to the supreme God and assigned them some roles in the creation of the world, had not yet been born or at least had not yet appeared when Celsus</w:t>
      </w:r>
      <w:r>
        <w:fldChar w:fldCharType="begin"/>
      </w:r>
      <w:r>
        <w:instrText xml:space="preserve"> XE "Celsus" \f "Persons"</w:instrText>
      </w:r>
      <w:r>
        <w:fldChar w:fldCharType="end"/>
      </w:r>
      <w:r>
        <w:t xml:space="preserve"> was writing against the Christians. Justin</w:t>
      </w:r>
      <w:r>
        <w:fldChar w:fldCharType="begin"/>
      </w:r>
      <w:r>
        <w:instrText xml:space="preserve"> XE "Justin" \f "Persons"</w:instrText>
      </w:r>
      <w:r>
        <w:fldChar w:fldCharType="end"/>
      </w:r>
      <w:r>
        <w:t xml:space="preserve"> himself, when he came to the Christian religion, still did not know anything said by Plato or the Platonists that agreed with the Christian doctrine about the Word. For when asked by the old man who first taught him the elements of the religion, </w:t>
      </w:r>
      <w:r>
        <w:rPr>
          <w:i/>
        </w:rPr>
        <w:t>Dialogue</w:t>
      </w:r>
      <w:r>
        <w:t xml:space="preserve"> no. 3, he does not clearly distinguish the λόγος who rules all, “reason commanding all,” from God and divine thought, but clearly refers to the place of Plato from the </w:t>
      </w:r>
      <w:r>
        <w:rPr>
          <w:i/>
        </w:rPr>
        <w:t>Timaeus</w:t>
      </w:r>
      <w:r>
        <w:t xml:space="preserve"> cited above, where Plato urges that, “grasping and sitting upon some one of human reasons, we should navigate the dangers of life as if on a raft, unless someone can be carried more safely by some stronger vehicle or by some divine reason grasped.”</w:t>
      </w:r>
    </w:p>
    <w:p w14:paraId="5C1EFEAC" w14:textId="77777777" w:rsidR="005C2B3E" w:rsidRDefault="00000000">
      <w:pPr>
        <w:ind w:firstLine="360"/>
      </w:pPr>
      <w:r>
        <w:t>Justinus</w:t>
      </w:r>
      <w:r>
        <w:fldChar w:fldCharType="begin"/>
      </w:r>
      <w:r>
        <w:instrText xml:space="preserve"> XE "Justinus" \f "Persons"</w:instrText>
      </w:r>
      <w:r>
        <w:fldChar w:fldCharType="end"/>
      </w:r>
      <w:r>
        <w:t xml:space="preserve">, in </w:t>
      </w:r>
      <w:r>
        <w:rPr>
          <w:i/>
        </w:rPr>
        <w:t>Cohort</w:t>
      </w:r>
      <w:r>
        <w:t>, a work written at the beginning of his conversion, criticizes Plato</w:t>
      </w:r>
      <w:r>
        <w:fldChar w:fldCharType="begin"/>
      </w:r>
      <w:r>
        <w:instrText xml:space="preserve"> XE "Plato" \f "Persons"</w:instrText>
      </w:r>
      <w:r>
        <w:fldChar w:fldCharType="end"/>
      </w:r>
      <w:r>
        <w:t xml:space="preserve">, no. 29 and 30, because he thought that the words said to Moses, </w:t>
      </w:r>
      <w:r>
        <w:rPr>
          <w:i/>
        </w:rPr>
        <w:t>According to the form shown to you on the mountain, so you shall make it</w:t>
      </w:r>
      <w:r>
        <w:t xml:space="preserve">, were read but not understood, and that he supposed </w:t>
      </w:r>
      <w:r>
        <w:rPr>
          <w:i/>
        </w:rPr>
        <w:t>some form or pattern of those things made before what is subject to the senses exists separately</w:t>
      </w:r>
      <w:r>
        <w:t xml:space="preserve">, and admitted a pre-existing earth, a pre-existing heaven, and a pre-existing man. He also rebukes him, no. 7, for listing form among the </w:t>
      </w:r>
      <w:r>
        <w:rPr>
          <w:i/>
        </w:rPr>
        <w:t>notions of God</w:t>
      </w:r>
      <w:r>
        <w:t>, which elsewhere he declares to be a substance existing separately.</w:t>
      </w:r>
    </w:p>
    <w:p w14:paraId="2C1CE1E7" w14:textId="77777777" w:rsidR="005C2B3E" w:rsidRDefault="00000000">
      <w:pPr>
        <w:ind w:firstLine="360"/>
      </w:pPr>
      <w:r>
        <w:t>Thus Justin</w:t>
      </w:r>
      <w:r>
        <w:fldChar w:fldCharType="begin"/>
      </w:r>
      <w:r>
        <w:instrText xml:space="preserve"> XE "Justin" \f "Persons"</w:instrText>
      </w:r>
      <w:r>
        <w:fldChar w:fldCharType="end"/>
      </w:r>
      <w:r>
        <w:t>, suspecting nothing that Plato</w:t>
      </w:r>
      <w:r>
        <w:fldChar w:fldCharType="begin"/>
      </w:r>
      <w:r>
        <w:instrText xml:space="preserve"> XE "Plato" \f "Persons"</w:instrText>
      </w:r>
      <w:r>
        <w:fldChar w:fldCharType="end"/>
      </w:r>
      <w:r>
        <w:t xml:space="preserve"> tasted of the Word of God the Son and God, indeed not even himself much versed in Platonic doctrine (for he had not been long with the Platonists). For Plato constantly places the pattern of the world in the thoughts of God. If many years later Justin seemed to himself to find some, not I say knowledge, but, as he says, imitation of the Christian doctrine about the Son and the Holy Spirit in Plato, since this was noticed late and treated at length, it is proof that Justin would never have observed this unless he had been both imbued with Christian doctrine and eager to defend it. Indeed, from the two testimonies he cites in </w:t>
      </w:r>
      <w:r>
        <w:rPr>
          <w:i/>
        </w:rPr>
        <w:t>Apology</w:t>
      </w:r>
      <w:r>
        <w:t xml:space="preserve"> 1, no. 60, one is read very differently in Plato, as I noted in the commentary, and the other can only be twisted by force to apply to the Son of God.</w:t>
      </w:r>
    </w:p>
    <w:p w14:paraId="6B133774" w14:textId="77777777" w:rsidR="005C2B3E" w:rsidRDefault="00000000">
      <w:pPr>
        <w:ind w:firstLine="360"/>
      </w:pPr>
      <w:r>
        <w:t>After so many testimonies of Plato</w:t>
      </w:r>
      <w:r>
        <w:fldChar w:fldCharType="begin"/>
      </w:r>
      <w:r>
        <w:instrText xml:space="preserve"> XE "Plato" \f "Persons"</w:instrText>
      </w:r>
      <w:r>
        <w:fldChar w:fldCharType="end"/>
      </w:r>
      <w:r>
        <w:t xml:space="preserve"> and those who were very skilled in his doctrine, and even of Justin</w:t>
      </w:r>
      <w:r>
        <w:fldChar w:fldCharType="begin"/>
      </w:r>
      <w:r>
        <w:instrText xml:space="preserve"> XE "Justin" \f "Persons"</w:instrText>
      </w:r>
      <w:r>
        <w:fldChar w:fldCharType="end"/>
      </w:r>
      <w:r>
        <w:t xml:space="preserve"> himself, I seem to be able to decide on my own authority that the story of Platonism introduced into the Church by Justin must be referred to among those inventions, none of which ever had an author, or at least no defender, if there could be another way to defend such a ridiculous error.</w:t>
      </w:r>
    </w:p>
    <w:p w14:paraId="5B43437E" w14:textId="77777777" w:rsidR="005C2B3E" w:rsidRDefault="00000000">
      <w:pPr>
        <w:ind w:firstLine="360"/>
      </w:pPr>
      <w:r>
        <w:lastRenderedPageBreak/>
        <w:t>Now indeed, if anyone objects to the judgments of the ancient writers, Clement of Alexandria</w:t>
      </w:r>
      <w:r>
        <w:fldChar w:fldCharType="begin"/>
      </w:r>
      <w:r>
        <w:instrText xml:space="preserve"> XE "Clement of Alexandria" \f "Persons"</w:instrText>
      </w:r>
      <w:r>
        <w:fldChar w:fldCharType="end"/>
      </w:r>
      <w:r>
        <w:t>, Origen</w:t>
      </w:r>
      <w:r>
        <w:fldChar w:fldCharType="begin"/>
      </w:r>
      <w:r>
        <w:instrText xml:space="preserve"> XE "Origen" \f "Persons"</w:instrText>
      </w:r>
      <w:r>
        <w:fldChar w:fldCharType="end"/>
      </w:r>
      <w:r>
        <w:t>, Eusebius of Caesarea</w:t>
      </w:r>
      <w:r>
        <w:fldChar w:fldCharType="begin"/>
      </w:r>
      <w:r>
        <w:instrText xml:space="preserve"> XE "Eusebius of Caesarea" \f "Persons"</w:instrText>
      </w:r>
      <w:r>
        <w:fldChar w:fldCharType="end"/>
      </w:r>
      <w:r>
        <w:t>, and Cyril of Alexandria</w:t>
      </w:r>
      <w:r>
        <w:fldChar w:fldCharType="begin"/>
      </w:r>
      <w:r>
        <w:instrText xml:space="preserve"> XE "Cyril of Alexandria" \f "Persons"</w:instrText>
      </w:r>
      <w:r>
        <w:fldChar w:fldCharType="end"/>
      </w:r>
      <w:r>
        <w:t>, who, following Justin</w:t>
      </w:r>
      <w:r>
        <w:fldChar w:fldCharType="begin"/>
      </w:r>
      <w:r>
        <w:instrText xml:space="preserve"> XE "Justin" \f "Persons"</w:instrText>
      </w:r>
      <w:r>
        <w:fldChar w:fldCharType="end"/>
      </w:r>
      <w:r>
        <w:t>’s example, cited Plato</w:t>
      </w:r>
      <w:r>
        <w:fldChar w:fldCharType="begin"/>
      </w:r>
      <w:r>
        <w:instrText xml:space="preserve"> XE "Plato" \f "Persons"</w:instrText>
      </w:r>
      <w:r>
        <w:fldChar w:fldCharType="end"/>
      </w:r>
      <w:r>
        <w:t xml:space="preserve"> as a witness to the Christian doctrine about the Word; that will not trouble me, since my opinion does not differ much from their authority. For that Platonic description of the Son of God, whom he calls the only-begotten, the begotten God, the intelligible image of God, the blessed God, God sufficient to himself and most perfect, the cause of all good things, agrees so well with the Hebrew doctrine of the eternal Son of God that it is likely, just as with those things I mentioned above about God admiring his work and the planets made to mark times, that it was derived from there and corrupted by an unfit joining with the world. Justin denies that Plato understood what he had drawn from the sacred sources.</w:t>
      </w:r>
    </w:p>
    <w:p w14:paraId="3E811769" w14:textId="77777777" w:rsidR="005C2B3E" w:rsidRDefault="00000000">
      <w:pPr>
        <w:pStyle w:val="Heading3"/>
      </w:pPr>
      <w:r>
        <w:t>CHAPTER 2</w:t>
      </w:r>
    </w:p>
    <w:p w14:paraId="796BDA6D" w14:textId="77777777" w:rsidR="005C2B3E" w:rsidRDefault="00000000">
      <w:pPr>
        <w:pStyle w:val="Heading4"/>
      </w:pPr>
      <w:r>
        <w:t>SOME PASSAGES OF JUSTIN AND ATHENAGORAS ON THE CREATION OF MATTER ARE EXPLAINED</w:t>
      </w:r>
    </w:p>
    <w:p w14:paraId="39A78C26" w14:textId="77777777" w:rsidR="005C2B3E" w:rsidRDefault="00000000">
      <w:pPr>
        <w:spacing w:before="180" w:after="0"/>
        <w:ind w:left="720" w:right="320" w:hanging="360"/>
      </w:pPr>
      <w:r>
        <w:t>The testimonies of Justin and Athenagoras are explained from other passages. II. They sometimes are silent about the creation of matter not without reason. III. Sacred and ecclesiastical writers spoke in the same way.</w:t>
      </w:r>
    </w:p>
    <w:p w14:paraId="6BB84DB7" w14:textId="77777777" w:rsidR="005C2B3E" w:rsidRDefault="00000000">
      <w:r>
        <w:t>I. Saint</w:t>
      </w:r>
      <w:r>
        <w:fldChar w:fldCharType="begin"/>
      </w:r>
      <w:r>
        <w:instrText xml:space="preserve"> XE "Saint" \f "Persons"</w:instrText>
      </w:r>
      <w:r>
        <w:fldChar w:fldCharType="end"/>
      </w:r>
      <w:r>
        <w:t xml:space="preserve"> Justin</w:t>
      </w:r>
      <w:r>
        <w:fldChar w:fldCharType="begin"/>
      </w:r>
      <w:r>
        <w:instrText xml:space="preserve"> XE "Justin" \f "Persons"</w:instrText>
      </w:r>
      <w:r>
        <w:fldChar w:fldCharType="end"/>
      </w:r>
      <w:r>
        <w:t xml:space="preserve"> and Athenagoras</w:t>
      </w:r>
      <w:r>
        <w:fldChar w:fldCharType="begin"/>
      </w:r>
      <w:r>
        <w:instrText xml:space="preserve"> XE "Athenagoras" \f "Persons"</w:instrText>
      </w:r>
      <w:r>
        <w:fldChar w:fldCharType="end"/>
      </w:r>
      <w:r>
        <w:t xml:space="preserve"> said some things about the creation of the world, which we will try to explain here, so as not to trouble the readers. I will begin with these words of Justin from </w:t>
      </w:r>
      <w:r>
        <w:rPr>
          <w:i/>
        </w:rPr>
        <w:t>Apol</w:t>
      </w:r>
      <w:r>
        <w:t>. 1, no. 10: Καὶ πάντα τὴν ἀρχὴν, ἀγαθὸν ὄντα, δημιουργῆσαι αὐτὸν ἐξ ἀμόρφου ὕλης διʼ ἀνθρώπους δεδιδάγμεθα. “And since he is good, we know that he made all things from shapeless matter for the sake of men.” Many have twisted that phrase, ἐξ ἀμόρφου ὕλης, which some have thought should be erased, others corrected, others interpreted more kindly. Indeed, at first glance Justin seems to agree with Plato</w:t>
      </w:r>
      <w:r>
        <w:fldChar w:fldCharType="begin"/>
      </w:r>
      <w:r>
        <w:instrText xml:space="preserve"> XE "Plato" \f "Persons"</w:instrText>
      </w:r>
      <w:r>
        <w:fldChar w:fldCharType="end"/>
      </w:r>
      <w:r>
        <w:t xml:space="preserve"> about the creation of the world, although Plato did not even suspect that matter was created out of nothing. For he says thus in the same </w:t>
      </w:r>
      <w:r>
        <w:rPr>
          <w:i/>
        </w:rPr>
        <w:t>Apol</w:t>
      </w:r>
      <w:r>
        <w:t xml:space="preserve">. 1, no. 59: Ἵνα δὲ καὶ παρὰ τῶν ἡμετέρων διδασκάλων (λέγομεν δὴ τοῦ λόγου τοῦ διὰ τῶν προφητῶν) λαβόντα τὸν Πλάτωνα μάθητε τὸ εἰπεῖν, ὕλην ἄμορφον οὖσαν στρέψαντα τὸν Θεὸν, κόσμον ποιῆσαι, ἀκούσατε τῶν αὐτολεξεὶ εἰρημένων διὰ Μωσέως τοῦ προδεδηλωμένου πρώτου προφήτου, καὶ πρεσβυτέρου τῶν ἐν Ἕλλησι συγγραφέων· διʼ οὗ μηνύον τὸ προφητικὸν Πνεῦμα πῶς τὴν ἀρχὴν καὶ ἐκ τίνων ἐδημιούργησεν ὁ Θεὸς τὸν κόσμον, ἔφη οὕτως· </w:t>
      </w:r>
      <w:r>
        <w:rPr>
          <w:b/>
        </w:rPr>
        <w:t>Ἐν ἀρχῇ ἐποίησεν ὁ Θεὸς τὸν οὐρανὸν καὶ τὴν γῆν. Ἡ δὲ γῆ ἦν ἀόρατος καὶ ἀκατασκεύαστος, καὶ σκότος ἐπάνω τῆς ἀβύσσου· καὶ πνεῦμα Θεοῦ ἐπεφέρετο ἐπάνω τῶν ὑδάτων. Καὶ εἷπεν ὁ Θεός· Γενηθήτω φῶς, καὶ ἐγένετο οὔτως.</w:t>
      </w:r>
      <w:r>
        <w:t xml:space="preserve"> Ὥστε λόγῳ Θεοῦ ἐκ τῶν ὑποκειμένων καὶ προδηλωθέντως διὰ Μωσέως, γεγενῆσθαι τὸν πάντα κόσμον, καὶ Πλάτων, καὶ οἱ ταῦτα λέγοντες, καὶ ἡμεῖς ἐμάθομεν καὶ ὑμεῖς πεισθῆναι δύνασθε.</w:t>
      </w:r>
    </w:p>
    <w:p w14:paraId="188A635D" w14:textId="77777777" w:rsidR="005C2B3E" w:rsidRDefault="00000000">
      <w:pPr>
        <w:ind w:firstLine="360"/>
      </w:pPr>
      <w:r>
        <w:lastRenderedPageBreak/>
        <w:t>“But so that you may learn from our teachers as well (I mean from the teaching spread through the prophets) that Plato</w:t>
      </w:r>
      <w:r>
        <w:fldChar w:fldCharType="begin"/>
      </w:r>
      <w:r>
        <w:instrText xml:space="preserve"> XE "Plato" \f "Persons"</w:instrText>
      </w:r>
      <w:r>
        <w:fldChar w:fldCharType="end"/>
      </w:r>
      <w:r>
        <w:t xml:space="preserve">, having taken this, said that God, having turned shapeless matter, made the world, listen to what Moses said in exactly the same words, the first prophet and the oldest of the writers among the Greeks, through whom the prophetic Spirit reveals how God made the world at the beginning and from what, he said thus: </w:t>
      </w:r>
      <w:r>
        <w:rPr>
          <w:i/>
        </w:rPr>
        <w:t>In the beginning God made the heaven and the earth. And the earth was invisible and unformed, and darkness was upon the abyss; and the Spirit of God was moving over the waters. And God said: Let there be light, and there was light.</w:t>
      </w:r>
      <w:r>
        <w:t xml:space="preserve"> So by the word of God, from the underlying and designated things through Moses, the whole world was made, and Plato, and those who say the same things, and we ourselves have learned, and you are able to be convinced.”</w:t>
      </w:r>
    </w:p>
    <w:p w14:paraId="1012A042" w14:textId="77777777" w:rsidR="005C2B3E" w:rsidRDefault="00000000">
      <w:pPr>
        <w:ind w:firstLine="360"/>
      </w:pPr>
      <w:r>
        <w:t>And at no. 67, without mentioning the creation of matter, he says of God: “When he had turned matter and darkness, he made the world.”</w:t>
      </w:r>
    </w:p>
    <w:p w14:paraId="359AC3AB" w14:textId="77777777" w:rsidR="005C2B3E" w:rsidRDefault="00000000">
      <w:pPr>
        <w:ind w:firstLine="360"/>
      </w:pPr>
      <w:r>
        <w:t>Athenagoras</w:t>
      </w:r>
      <w:r>
        <w:fldChar w:fldCharType="begin"/>
      </w:r>
      <w:r>
        <w:instrText xml:space="preserve"> XE "Athenagoras" \f "Persons"</w:instrText>
      </w:r>
      <w:r>
        <w:fldChar w:fldCharType="end"/>
      </w:r>
      <w:r>
        <w:t xml:space="preserve"> teaches in </w:t>
      </w:r>
      <w:r>
        <w:rPr>
          <w:i/>
        </w:rPr>
        <w:t>Apolog</w:t>
      </w:r>
      <w:r>
        <w:t>, no. 10: The word came forth so that “there would be the idea and act of all material things, which, like shapeless nature and heavier parts of inert earth mixed with lighter ones, lay there.” He compares God and matter to the potter and clay, no. 15: Ὡς γὰρ ὁ κεραμεὺς καὶ ὁ πηλὸς (ὕλημὲν ὁ πηλὸς, τεχνίτης δὲ ὁ κεραμεύς), καὶ ὁ Θεὸς δημιουργὸς, ὑπακούουσα δὲ αὐτῷ ἡ ὕλη πρὸς τὴν τέχνην. “For just as the potter and the clay (the clay is the matter, the potter the craftsman), so God is the maker, and matter obeys his art.” And no. 19: Δεῖ δὲ καὶ τῇ ὕλῃ τεχνίτου καὶ ὕλης τῷ τεχνίτῃ. “But both matter needs a maker, and the maker needs matter.”</w:t>
      </w:r>
    </w:p>
    <w:p w14:paraId="0D5139BC" w14:textId="77777777" w:rsidR="005C2B3E" w:rsidRDefault="00000000">
      <w:pPr>
        <w:ind w:firstLine="360"/>
      </w:pPr>
      <w:r>
        <w:t>To resolve any difficulty that may arise from these testimonies, we can first establish this: Justin</w:t>
      </w:r>
      <w:r>
        <w:fldChar w:fldCharType="begin"/>
      </w:r>
      <w:r>
        <w:instrText xml:space="preserve"> XE "Justin" \f "Persons"</w:instrText>
      </w:r>
      <w:r>
        <w:fldChar w:fldCharType="end"/>
      </w:r>
      <w:r>
        <w:t xml:space="preserve"> and Athenagoras</w:t>
      </w:r>
      <w:r>
        <w:fldChar w:fldCharType="begin"/>
      </w:r>
      <w:r>
        <w:instrText xml:space="preserve"> XE "Athenagoras" \f "Persons"</w:instrText>
      </w:r>
      <w:r>
        <w:fldChar w:fldCharType="end"/>
      </w:r>
      <w:r>
        <w:t xml:space="preserve"> spoke about the creation of matter in other places in such a way that there can be no doubt about their meaning. Justin in </w:t>
      </w:r>
      <w:r>
        <w:rPr>
          <w:i/>
        </w:rPr>
        <w:t>Cohort</w:t>
      </w:r>
      <w:r>
        <w:t xml:space="preserve">, no. 22, distinguishes between the maker and the craftsman, </w:t>
      </w:r>
      <w:r>
        <w:rPr>
          <w:i/>
        </w:rPr>
        <w:t>that the maker, needing nothing else, makes what is made by his own power and ability; but the creator, having received the ability to work from matter, constructs what is created.</w:t>
      </w:r>
      <w:r>
        <w:t xml:space="preserve"> In the same book, as we noted at no. 23, he criticizes Plato</w:t>
      </w:r>
      <w:r>
        <w:fldChar w:fldCharType="begin"/>
      </w:r>
      <w:r>
        <w:instrText xml:space="preserve"> XE "Plato" \f "Persons"</w:instrText>
      </w:r>
      <w:r>
        <w:fldChar w:fldCharType="end"/>
      </w:r>
      <w:r>
        <w:t xml:space="preserve"> for thinking that matter is eternal and uncreated. He says of the same Plato, no. 30, that he read but did not understand the beginning of the book </w:t>
      </w:r>
      <w:r>
        <w:rPr>
          <w:i/>
        </w:rPr>
        <w:t>Genesis</w:t>
      </w:r>
      <w:r>
        <w:t xml:space="preserve">, and that phrase: </w:t>
      </w:r>
      <w:r>
        <w:rPr>
          <w:i/>
        </w:rPr>
        <w:t>And the earth was</w:t>
      </w:r>
      <w:r>
        <w:t xml:space="preserve">, understanding it to mean preexisting earth, because it is said to be invisible and unformed. He teaches in </w:t>
      </w:r>
      <w:r>
        <w:rPr>
          <w:i/>
        </w:rPr>
        <w:t>Dialogue</w:t>
      </w:r>
      <w:r>
        <w:t xml:space="preserve">, no. 5, that if the soul were uncreated, it would be equal to God, so that not even God could move it or impose power on it. From this it is clear enough how far the absurd opinion of uncreated matter was from his mind. However, in that place in the </w:t>
      </w:r>
      <w:r>
        <w:rPr>
          <w:i/>
        </w:rPr>
        <w:t>Apology</w:t>
      </w:r>
      <w:r>
        <w:t xml:space="preserve"> where he praises Plato, he lightly and almost in passing, but still not obscurely, indicates the creation of matter. For he says these words: </w:t>
      </w:r>
      <w:r>
        <w:rPr>
          <w:i/>
        </w:rPr>
        <w:t>In the beginning God created the heaven and the earth</w:t>
      </w:r>
      <w:r>
        <w:t>, meaning the things from which God made the world, since heaven and earth, as many others, and as Augustine</w:t>
      </w:r>
      <w:r>
        <w:fldChar w:fldCharType="begin"/>
      </w:r>
      <w:r>
        <w:instrText xml:space="preserve"> XE "Augustine" \f "Persons"</w:instrText>
      </w:r>
      <w:r>
        <w:fldChar w:fldCharType="end"/>
      </w:r>
      <w:r>
        <w:t xml:space="preserve"> says, were understood </w:t>
      </w:r>
      <w:r>
        <w:lastRenderedPageBreak/>
        <w:t>as matter or the seed of heaven and earth. Athenagoras teaches, no. 4, that matter is created and subject to corruption; and no. 10, that all things are created and adorned through the Word.</w:t>
      </w:r>
    </w:p>
    <w:p w14:paraId="0020A722" w14:textId="77777777" w:rsidR="005C2B3E" w:rsidRDefault="00000000">
      <w:pPr>
        <w:ind w:firstLine="360"/>
      </w:pPr>
      <w:r>
        <w:t>II. Although Justin</w:t>
      </w:r>
      <w:r>
        <w:fldChar w:fldCharType="begin"/>
      </w:r>
      <w:r>
        <w:instrText xml:space="preserve"> XE "Justin" \f "Persons"</w:instrText>
      </w:r>
      <w:r>
        <w:fldChar w:fldCharType="end"/>
      </w:r>
      <w:r>
        <w:t xml:space="preserve"> and Athenagoras</w:t>
      </w:r>
      <w:r>
        <w:fldChar w:fldCharType="begin"/>
      </w:r>
      <w:r>
        <w:instrText xml:space="preserve"> XE "Athenagoras" \f "Persons"</w:instrText>
      </w:r>
      <w:r>
        <w:fldChar w:fldCharType="end"/>
      </w:r>
      <w:r>
        <w:t xml:space="preserve"> agreed on the creation of matter, as do all Christians, sometimes they make no mention or only a slight mention of this creation, because their purpose did not require it. When Justin praises Plato</w:t>
      </w:r>
      <w:r>
        <w:fldChar w:fldCharType="begin"/>
      </w:r>
      <w:r>
        <w:instrText xml:space="preserve"> XE "Plato" \f "Persons"</w:instrText>
      </w:r>
      <w:r>
        <w:fldChar w:fldCharType="end"/>
      </w:r>
      <w:r>
        <w:t xml:space="preserve">, he tries to bring in the pagans so that they do not hate in Christians what they admire in Plato, and he presents the similarity of Platonic doctrine to Christian teaching as a kind of lure. Therefore, it was not necessary then to raise the ignorance of matter’s creation in Plato, but it seemed better to praise his opinion that the world was created by the wisdom of God, drawn from the sources of Moses; although Moses understands matter as created, as Justin does not obscurely declare, Plato as uncreated. Plato is often praised elsewhere for teaching that the world was made by God, rejecting the dreams of other philosophers, as I noted at this place in </w:t>
      </w:r>
      <w:r>
        <w:rPr>
          <w:i/>
        </w:rPr>
        <w:t>Apology</w:t>
      </w:r>
      <w:r>
        <w:t xml:space="preserve"> 1. In another place, where Justin teaches that all things were created by God from shapeless matter, he reasons well and consistently. For he proves </w:t>
      </w:r>
      <w:r>
        <w:rPr>
          <w:i/>
        </w:rPr>
        <w:t>that God does not need the material gifts of men; for all things supply him … and since he is good, he made all things from shapeless matter from the beginning for the sake of men.</w:t>
      </w:r>
      <w:r>
        <w:t xml:space="preserve"> It was not necessary in such an argument to say that matter was created in so many words; but since the pagans conceded that it was arranged and adorned, it was enough for one using this principle to show that God does not need the material gifts of men. Likewise, when he says that Christians meet on the day of the sun, because this is the day on which God turned darkness and matter, and Christ rose, he says nothing that is not true, and suitable to win approval for the worship of Christians.</w:t>
      </w:r>
    </w:p>
    <w:p w14:paraId="7FB881EA" w14:textId="77777777" w:rsidR="005C2B3E" w:rsidRDefault="00000000">
      <w:pPr>
        <w:ind w:firstLine="360"/>
      </w:pPr>
      <w:r>
        <w:t>Athenagoras</w:t>
      </w:r>
      <w:r>
        <w:fldChar w:fldCharType="begin"/>
      </w:r>
      <w:r>
        <w:instrText xml:space="preserve"> XE "Athenagoras" \f "Persons"</w:instrText>
      </w:r>
      <w:r>
        <w:fldChar w:fldCharType="end"/>
      </w:r>
      <w:r>
        <w:t xml:space="preserve"> is held back by a similar reason from saying that matter was created in so many words in the places just mentioned. What the pagans gladly allowed—that matter obeyed God’s art and was subjected to it, and that it was adorned and divided by God—Athenagoras accepts in the place of argument, no. 15, in order to prove that matter does not need to be made equal to God, and therefore images should not be worshiped. He states, no. 19, that matter needs a craftsman and the craftsman needs matter; but he states this to show, with no one objecting, that water is not the principle of all things. And to show that Athenagoras seems to use a kind of accommodation to the principles of his opponents, so that he may refute them more easily, I will add an example from the book </w:t>
      </w:r>
      <w:r>
        <w:rPr>
          <w:i/>
        </w:rPr>
        <w:t>On the Resurrection of the Dead</w:t>
      </w:r>
      <w:r>
        <w:t xml:space="preserve">, where he proves that God can call the dead back to life, no. 3: Ἧς γάρ ἐστι δυνάμεως καὶ τὴν παρʼ αὐτοῖς νενομισμένην ἄμορφον οὖσαν μορφῶσαι, καὶ τὴν ἀνείδεον καὶ ἀδιακόσμητον πολλοῖς καὶ διαφόροις εἴδεσι κοσμῆσαι … τῆς αὐτῆς ἐστι καὶ τὸ διαλελυμένον ἑνῶσαι, καὶ τὸ κείμενον ἀναστῆσαι, καὶ τὸ τεθνηκὸς ζωοποιῆσαι πάλιν, καὶ τὸ φθαρτὸν μεταβαλεῖν εἰς ἀφθαρσίαν. “For whose power is it to give form to matter, which they think is </w:t>
      </w:r>
      <w:r>
        <w:lastRenderedPageBreak/>
        <w:t xml:space="preserve">formless, and to adorn that which lacks shape and ornament with many and various forms … it is also his to join what is broken, to raise what lies down, to make alive again what is dead, and to change what is corruptible into incorruption.” By these words, </w:t>
      </w:r>
      <w:r>
        <w:rPr>
          <w:i/>
        </w:rPr>
        <w:t>formless, which they think matter is</w:t>
      </w:r>
      <w:r>
        <w:t>, Athenagoras clearly shows that he thinks more nobly about the creation of the world than his opponents, yet he does not draw arguments from the creation of matter itself, though he easily could; and he is content with what is conceded by his opponents, so that he may strike them more strongly and leave no room for objection.</w:t>
      </w:r>
    </w:p>
    <w:p w14:paraId="645CE18C" w14:textId="77777777" w:rsidR="005C2B3E" w:rsidRDefault="00000000">
      <w:pPr>
        <w:ind w:firstLine="360"/>
      </w:pPr>
      <w:r>
        <w:t>III</w:t>
      </w:r>
      <w:r>
        <w:fldChar w:fldCharType="begin"/>
      </w:r>
      <w:r>
        <w:instrText xml:space="preserve"> XE "III" \f "Persons"</w:instrText>
      </w:r>
      <w:r>
        <w:fldChar w:fldCharType="end"/>
      </w:r>
      <w:r>
        <w:t>. Justin</w:t>
      </w:r>
      <w:r>
        <w:fldChar w:fldCharType="begin"/>
      </w:r>
      <w:r>
        <w:instrText xml:space="preserve"> XE "Justin" \f "Persons"</w:instrText>
      </w:r>
      <w:r>
        <w:fldChar w:fldCharType="end"/>
      </w:r>
      <w:r>
        <w:t xml:space="preserve"> and Athenagoras</w:t>
      </w:r>
      <w:r>
        <w:fldChar w:fldCharType="begin"/>
      </w:r>
      <w:r>
        <w:instrText xml:space="preserve"> XE "Athenagoras" \f "Persons"</w:instrText>
      </w:r>
      <w:r>
        <w:fldChar w:fldCharType="end"/>
      </w:r>
      <w:r>
        <w:t xml:space="preserve"> do not depart at all from the usual way of speaking used by sacred and ecclesiastical writers. In the book </w:t>
      </w:r>
      <w:r>
        <w:rPr>
          <w:i/>
        </w:rPr>
        <w:t>Wisdom</w:t>
      </w:r>
      <w:r>
        <w:t>, chapter 2, verse 18: The almighty hand of God is said to have made the world ἐξ ἀμόρφου ὕλης, “from formless matter.” The Latin translator omitted these words. Origen</w:t>
      </w:r>
      <w:r>
        <w:fldChar w:fldCharType="begin"/>
      </w:r>
      <w:r>
        <w:instrText xml:space="preserve"> XE "Origen" \f "Persons"</w:instrText>
      </w:r>
      <w:r>
        <w:fldChar w:fldCharType="end"/>
      </w:r>
      <w:r>
        <w:t xml:space="preserve"> observes in book 5 of </w:t>
      </w:r>
      <w:r>
        <w:rPr>
          <w:i/>
        </w:rPr>
        <w:t>On First Principles</w:t>
      </w:r>
      <w:r>
        <w:t xml:space="preserve"> that this is the only place in Scripture where the word matter is used in this sense. Augustine</w:t>
      </w:r>
      <w:r>
        <w:fldChar w:fldCharType="begin"/>
      </w:r>
      <w:r>
        <w:instrText xml:space="preserve"> XE "Augustine" \f "Persons"</w:instrText>
      </w:r>
      <w:r>
        <w:fldChar w:fldCharType="end"/>
      </w:r>
      <w:r>
        <w:t xml:space="preserve"> cites the same passage in book 1 of </w:t>
      </w:r>
      <w:r>
        <w:rPr>
          <w:i/>
        </w:rPr>
        <w:t>Against the Opponents of the Law and the Prophets</w:t>
      </w:r>
      <w:r>
        <w:t xml:space="preserve"> and notes that God indeed made the world from formless matter, but at the same time formed it together with the world.</w:t>
      </w:r>
    </w:p>
    <w:p w14:paraId="5A45A388" w14:textId="77777777" w:rsidR="005C2B3E" w:rsidRDefault="00000000">
      <w:pPr>
        <w:ind w:firstLine="360"/>
      </w:pPr>
      <w:r>
        <w:t>Gregory of Nazianzus</w:t>
      </w:r>
      <w:r>
        <w:fldChar w:fldCharType="begin"/>
      </w:r>
      <w:r>
        <w:instrText xml:space="preserve"> XE "Gregory of Nazianzus" \f "Persons"</w:instrText>
      </w:r>
      <w:r>
        <w:fldChar w:fldCharType="end"/>
      </w:r>
      <w:r>
        <w:t>, iambic poem 1, line 18, page 205, speaks thus:</w:t>
      </w:r>
    </w:p>
    <w:p w14:paraId="3C9F72EC" w14:textId="77777777" w:rsidR="005C2B3E" w:rsidRDefault="00000000">
      <w:pPr>
        <w:spacing w:before="180" w:after="0"/>
        <w:ind w:left="720" w:right="320" w:hanging="360"/>
      </w:pPr>
      <w:r>
        <w:t>For he who made all things by a wise word …</w:t>
      </w:r>
    </w:p>
    <w:p w14:paraId="4C088B65" w14:textId="77777777" w:rsidR="005C2B3E" w:rsidRDefault="00000000">
      <w:pPr>
        <w:spacing w:before="0" w:after="0"/>
        <w:ind w:left="720" w:right="320" w:hanging="360"/>
      </w:pPr>
      <w:r>
        <w:t>Ordered this world out of disorder.</w:t>
      </w:r>
    </w:p>
    <w:p w14:paraId="7ED87C5A" w14:textId="77777777" w:rsidR="005C2B3E" w:rsidRDefault="00000000">
      <w:r>
        <w:t>“For he who made all things by a wise Word …</w:t>
      </w:r>
    </w:p>
    <w:p w14:paraId="522780A8" w14:textId="77777777" w:rsidR="005C2B3E" w:rsidRDefault="00000000">
      <w:pPr>
        <w:ind w:firstLine="360"/>
      </w:pPr>
      <w:r>
        <w:t>Ordered this world out of disorder.”</w:t>
      </w:r>
    </w:p>
    <w:p w14:paraId="507F7F87" w14:textId="77777777" w:rsidR="005C2B3E" w:rsidRDefault="00000000">
      <w:pPr>
        <w:ind w:firstLine="360"/>
      </w:pPr>
      <w:r>
        <w:t xml:space="preserve">And in </w:t>
      </w:r>
      <w:r>
        <w:rPr>
          <w:i/>
        </w:rPr>
        <w:t>Oration</w:t>
      </w:r>
      <w:r>
        <w:t xml:space="preserve"> 1, page 33, he compares the turbulent motions, of which he was a witness, to the disordered mass of matter before God introduced the order and beauty that we now see.</w:t>
      </w:r>
    </w:p>
    <w:p w14:paraId="464C375C" w14:textId="77777777" w:rsidR="005C2B3E" w:rsidRDefault="00000000">
      <w:pPr>
        <w:ind w:firstLine="360"/>
      </w:pPr>
      <w:r>
        <w:t>Γέγονε δὲ τὰ πάντα ὡς τὸ ἀπʼ ἀρχῆς, ὅτε οὔπω κόσμος ἦν, οὐδὲ ἡ νῦν εὐταξία καὶ μόρφωσις, ἀλλὰ συγκεχυμένον τὸ πᾶν καὶ ἀνώμαλον ἐδεῖτο τῆς εἰδοποιοῦ χειρὸς καὶ δυνάμεως.</w:t>
      </w:r>
    </w:p>
    <w:p w14:paraId="74F48BAD" w14:textId="77777777" w:rsidR="005C2B3E" w:rsidRDefault="00000000">
      <w:pPr>
        <w:ind w:firstLine="360"/>
      </w:pPr>
      <w:r>
        <w:t>“Everything came to be as at the beginning, when the world was not yet, nor the present order and form, but all was mixed up and irregular, needing the shaping hand and power of the creator.”</w:t>
      </w:r>
    </w:p>
    <w:p w14:paraId="649F6215" w14:textId="77777777" w:rsidR="005C2B3E" w:rsidRDefault="00000000">
      <w:pPr>
        <w:ind w:firstLine="360"/>
      </w:pPr>
      <w:r>
        <w:t xml:space="preserve">See </w:t>
      </w:r>
      <w:r>
        <w:rPr>
          <w:i/>
        </w:rPr>
        <w:t>Oration</w:t>
      </w:r>
      <w:r>
        <w:t xml:space="preserve"> 43, p. 699; Jerome</w:t>
      </w:r>
      <w:r>
        <w:fldChar w:fldCharType="begin"/>
      </w:r>
      <w:r>
        <w:instrText xml:space="preserve"> XE "Jerome" \f "Persons"</w:instrText>
      </w:r>
      <w:r>
        <w:fldChar w:fldCharType="end"/>
      </w:r>
      <w:r>
        <w:t>, epistle 82: “The world, still rough, not yet shining with the sun, nor pale with the moon, nor sparkling with stars, pressed down an unformed and invisible matter, overwhelmed by the vastness of the abyss and deformed darkness.”</w:t>
      </w:r>
    </w:p>
    <w:p w14:paraId="5182B1BE" w14:textId="77777777" w:rsidR="005C2B3E" w:rsidRDefault="00000000">
      <w:pPr>
        <w:ind w:firstLine="360"/>
      </w:pPr>
      <w:r>
        <w:lastRenderedPageBreak/>
        <w:t>He adds in praise of baptism: “Only the Spirit of God was carried over the waters like a charioteer and brought forth the newborn world in the figure of baptism.”</w:t>
      </w:r>
    </w:p>
    <w:p w14:paraId="1DE9B85E" w14:textId="77777777" w:rsidR="005C2B3E" w:rsidRDefault="00000000">
      <w:pPr>
        <w:ind w:firstLine="360"/>
      </w:pPr>
      <w:r>
        <w:t>Jerome</w:t>
      </w:r>
      <w:r>
        <w:fldChar w:fldCharType="begin"/>
      </w:r>
      <w:r>
        <w:instrText xml:space="preserve"> XE "Jerome" \f "Persons"</w:instrText>
      </w:r>
      <w:r>
        <w:fldChar w:fldCharType="end"/>
      </w:r>
      <w:r>
        <w:t xml:space="preserve"> borrowed this observation from Tertullian</w:t>
      </w:r>
      <w:r>
        <w:fldChar w:fldCharType="begin"/>
      </w:r>
      <w:r>
        <w:instrText xml:space="preserve"> XE "Tertullian" \f "Persons"</w:instrText>
      </w:r>
      <w:r>
        <w:fldChar w:fldCharType="end"/>
      </w:r>
      <w:r>
        <w:t xml:space="preserve">, who in the book </w:t>
      </w:r>
      <w:r>
        <w:rPr>
          <w:i/>
        </w:rPr>
        <w:t>On Baptism</w:t>
      </w:r>
      <w:r>
        <w:t>, chapter 3, says: “For the whole darkness, still without the order of stars, and the gloomy abyss, and the unprepared earth, and the rough sky: only the water, always perfect matter, joyful, simple, pure from itself, offered a worthy vehicle to God.”</w:t>
      </w:r>
    </w:p>
    <w:p w14:paraId="2A52A8AB" w14:textId="77777777" w:rsidR="005C2B3E" w:rsidRDefault="00000000">
      <w:pPr>
        <w:ind w:firstLine="360"/>
      </w:pPr>
      <w:r>
        <w:t xml:space="preserve">See Athanasius, </w:t>
      </w:r>
      <w:r>
        <w:rPr>
          <w:i/>
        </w:rPr>
        <w:t>Oration against the Gentiles</w:t>
      </w:r>
      <w:r>
        <w:t>, numbers 38, 41, 42.</w:t>
      </w:r>
    </w:p>
    <w:p w14:paraId="401D7CA4" w14:textId="77777777" w:rsidR="005C2B3E" w:rsidRDefault="00000000">
      <w:pPr>
        <w:ind w:firstLine="360"/>
      </w:pPr>
      <w:r>
        <w:t>In these testimonies, divine power is praised not so much for creation from nothing itself, but for the wonderful order it gave to created things; so it is no wonder that writers, busy refuting pagans, touch lightly on the creation of matter, and more willingly dwell on the order and description of the world, since this seemed more suited to overthrow their opponents.</w:t>
      </w:r>
    </w:p>
    <w:p w14:paraId="46437539" w14:textId="77777777" w:rsidR="005C2B3E" w:rsidRDefault="00000000">
      <w:pPr>
        <w:pStyle w:val="Heading3"/>
      </w:pPr>
      <w:r>
        <w:t>CHAPTER 3</w:t>
      </w:r>
    </w:p>
    <w:p w14:paraId="24F4D6CA" w14:textId="77777777" w:rsidR="005C2B3E" w:rsidRDefault="00000000">
      <w:pPr>
        <w:pStyle w:val="Heading4"/>
      </w:pPr>
      <w:r>
        <w:t>IN WHAT SENSE JUSTIN SAID THE STARS WERE GIVEN TO THE NATIONS FOR WORSHIP</w:t>
      </w:r>
    </w:p>
    <w:p w14:paraId="5FE0B702" w14:textId="77777777" w:rsidR="005C2B3E" w:rsidRDefault="00000000">
      <w:pPr>
        <w:spacing w:before="180" w:after="0"/>
        <w:ind w:left="720" w:right="320" w:hanging="360"/>
      </w:pPr>
      <w:r>
        <w:t>The opinion of the holy martyr is explained and defended against Jurius</w:t>
      </w:r>
      <w:r>
        <w:fldChar w:fldCharType="begin"/>
      </w:r>
      <w:r>
        <w:instrText xml:space="preserve"> XE "Jurius" \f "Persons"</w:instrText>
      </w:r>
      <w:r>
        <w:fldChar w:fldCharType="end"/>
      </w:r>
      <w:r>
        <w:t>. II. The unfair Jurius against some others and especially against Saint Augustine.</w:t>
      </w:r>
    </w:p>
    <w:p w14:paraId="4AD9A756" w14:textId="77777777" w:rsidR="005C2B3E" w:rsidRDefault="00000000">
      <w:r>
        <w:t>I. Jurius</w:t>
      </w:r>
      <w:r>
        <w:fldChar w:fldCharType="begin"/>
      </w:r>
      <w:r>
        <w:instrText xml:space="preserve"> XE "Jurius" \f "Persons"</w:instrText>
      </w:r>
      <w:r>
        <w:fldChar w:fldCharType="end"/>
      </w:r>
      <w:r>
        <w:fldChar w:fldCharType="begin"/>
      </w:r>
      <w:r>
        <w:instrText xml:space="preserve"> XE "I. Jurius" \f "Persons"</w:instrText>
      </w:r>
      <w:r>
        <w:fldChar w:fldCharType="end"/>
      </w:r>
      <w:r>
        <w:t xml:space="preserve">, in </w:t>
      </w:r>
      <w:r>
        <w:rPr>
          <w:i/>
        </w:rPr>
        <w:t>Historia critica dogmatum et cultuum Ecclesiæ</w:t>
      </w:r>
      <w:r>
        <w:t>, part IV, p. 711, seems to have found a fine opportunity to disparage Justin</w:t>
      </w:r>
      <w:r>
        <w:fldChar w:fldCharType="begin"/>
      </w:r>
      <w:r>
        <w:instrText xml:space="preserve"> XE "Justin" \f "Persons"</w:instrText>
      </w:r>
      <w:r>
        <w:fldChar w:fldCharType="end"/>
      </w:r>
      <w:r>
        <w:t xml:space="preserve">, because the holy martyr says in </w:t>
      </w:r>
      <w:r>
        <w:rPr>
          <w:i/>
        </w:rPr>
        <w:t>Dialogue</w:t>
      </w:r>
      <w:r>
        <w:t xml:space="preserve">, no. 121: Τὸν μὲν ἥλιον ὁ Θεὸς ἐδεδώκει πρότερον εἰς τὸ προσκυνεἴν αὐτὸν ὡς γέγραπται, καὶ οὐδένα οὐδέποτε ἰδεῖν ἕστιν ὑπομείναντα διὰ τὴν πρὸς τὸν ἥλιον πίστιν ἀποθανεῖν. “God indeed gave the sun first to be worshiped, as it is written; nor has anyone ever existed who died because of faith in the sun.” The Scripture passage indicated by Justin is Deuteronomy 4:19, where it reads: </w:t>
      </w:r>
      <w:r>
        <w:rPr>
          <w:i/>
        </w:rPr>
        <w:t>Lest perhaps you lift up your eyes to heaven and see the sun and the moon and all the stars of heaven, and be led astray to worship them and serve those which the Lord your God has created for all the peoples under heaven.</w:t>
      </w:r>
      <w:r>
        <w:t xml:space="preserve"> The Septuagint has: Ἃ ἀπένειμε Κύριος ὁ Θεός σου αὐτὰ πᾶσι τοῖς ἔθνεσι τοῖς ὑποκάτω τοῦ οὐρανοῦ. Therefore, Jurius attacks Justin and others, whom he joins with him, namely Clement of Alexandria</w:t>
      </w:r>
      <w:r>
        <w:fldChar w:fldCharType="begin"/>
      </w:r>
      <w:r>
        <w:instrText xml:space="preserve"> XE "Clement of Alexandria" \f "Persons"</w:instrText>
      </w:r>
      <w:r>
        <w:fldChar w:fldCharType="end"/>
      </w:r>
      <w:r>
        <w:t>, Origen</w:t>
      </w:r>
      <w:r>
        <w:fldChar w:fldCharType="begin"/>
      </w:r>
      <w:r>
        <w:instrText xml:space="preserve"> XE "Origen" \f "Persons"</w:instrText>
      </w:r>
      <w:r>
        <w:fldChar w:fldCharType="end"/>
      </w:r>
      <w:r>
        <w:t>, and Augustine</w:t>
      </w:r>
      <w:r>
        <w:fldChar w:fldCharType="begin"/>
      </w:r>
      <w:r>
        <w:instrText xml:space="preserve"> XE "Augustine" \f "Persons"</w:instrText>
      </w:r>
      <w:r>
        <w:fldChar w:fldCharType="end"/>
      </w:r>
      <w:r>
        <w:t xml:space="preserve">, </w:t>
      </w:r>
      <w:r>
        <w:rPr>
          <w:i/>
        </w:rPr>
        <w:t>because they have invented that Moses said God distributed the sun and moon and stars to the Gentiles so that they would be their gods and worship them, reserving the people of Israel for himself.</w:t>
      </w:r>
      <w:r>
        <w:t xml:space="preserve"> Jurius is unfair not only to the Fathers, to whom he attributes this opinion, which he says </w:t>
      </w:r>
      <w:r>
        <w:rPr>
          <w:i/>
        </w:rPr>
        <w:t>is so contrary to common sense, reason, and religion that it is strange Christians should have fallen into it,</w:t>
      </w:r>
      <w:r>
        <w:t xml:space="preserve"> but he also does an injustice to Moses himself, since he admits *that his words can bear this meaning.*</w:t>
      </w:r>
    </w:p>
    <w:p w14:paraId="1AF55F64" w14:textId="77777777" w:rsidR="005C2B3E" w:rsidRDefault="00000000">
      <w:pPr>
        <w:ind w:firstLine="360"/>
      </w:pPr>
      <w:r>
        <w:lastRenderedPageBreak/>
        <w:t>But still, if Saint</w:t>
      </w:r>
      <w:r>
        <w:fldChar w:fldCharType="begin"/>
      </w:r>
      <w:r>
        <w:instrText xml:space="preserve"> XE "Saint" \f "Persons"</w:instrText>
      </w:r>
      <w:r>
        <w:fldChar w:fldCharType="end"/>
      </w:r>
      <w:r>
        <w:t xml:space="preserve"> Justin</w:t>
      </w:r>
      <w:r>
        <w:fldChar w:fldCharType="begin"/>
      </w:r>
      <w:r>
        <w:instrText xml:space="preserve"> XE "Justin" \f "Persons"</w:instrText>
      </w:r>
      <w:r>
        <w:fldChar w:fldCharType="end"/>
      </w:r>
      <w:r>
        <w:t xml:space="preserve">’s words are received with a fair mind, they raise no suspicion of error: for he does not say that God allowed this worship, or that he created the sun and stars to be worshiped; rather, he points out the just blindness of the nations, who, unlike the Jews, were deterred from this worship by the law, miracles, and the oracles of the prophets. We have another passage in the same </w:t>
      </w:r>
      <w:r>
        <w:rPr>
          <w:i/>
        </w:rPr>
        <w:t>Dialogue</w:t>
      </w:r>
      <w:r>
        <w:t xml:space="preserve"> that does not allow Justin’s words to be interpreted otherwise. Justin asks Trypho, no. 55, to carry out what he promised to show, that there is another besides God the Father who is called God and Lord in the Scriptures; but he warns </w:t>
      </w:r>
      <w:r>
        <w:rPr>
          <w:i/>
        </w:rPr>
        <w:t>not to say that the sun and moon, which Scripture says were given to the nations by God, were given so that they would worship them as gods.</w:t>
      </w:r>
      <w:r>
        <w:t xml:space="preserve"> Then Justin answers thus: “I was not going to bring forward, Trypho, those proofs by which I know that those who worship these and the like are condemned, but those which no one can deny.” If Justin saw in Moses’ words a condemnation of those who worship the sun and stars, who can doubt that he took them in the same sense as those words of Saint Stephen about the Jews themselves (</w:t>
      </w:r>
      <w:r>
        <w:rPr>
          <w:i/>
        </w:rPr>
        <w:t>Acts</w:t>
      </w:r>
      <w:r>
        <w:t xml:space="preserve"> 7:42): *But God turned and gave them up to serve the host of heaven.*</w:t>
      </w:r>
    </w:p>
    <w:p w14:paraId="52594E4D" w14:textId="77777777" w:rsidR="005C2B3E" w:rsidRDefault="00000000">
      <w:pPr>
        <w:ind w:firstLine="360"/>
      </w:pPr>
      <w:r>
        <w:t>Tertullian</w:t>
      </w:r>
      <w:r>
        <w:fldChar w:fldCharType="begin"/>
      </w:r>
      <w:r>
        <w:instrText xml:space="preserve"> XE "Tertullian" \f "Persons"</w:instrText>
      </w:r>
      <w:r>
        <w:fldChar w:fldCharType="end"/>
      </w:r>
      <w:r>
        <w:t xml:space="preserve"> speaks in a similar sense in the book </w:t>
      </w:r>
      <w:r>
        <w:rPr>
          <w:i/>
        </w:rPr>
        <w:t>On Idolatry</w:t>
      </w:r>
      <w:r>
        <w:t>, chapter 9, about magic and astrology: “But indeed that knowledge was allowed up to the Gospel, so that after Christ was revealed no one would interpret anyone’s birth from the heavens.” And not long after: “But even that other kind of magic, which works by miracles and even rivaled Moses, endured God’s patience up to the Gospel.”</w:t>
      </w:r>
    </w:p>
    <w:p w14:paraId="471DCB0C" w14:textId="77777777" w:rsidR="005C2B3E" w:rsidRDefault="00000000">
      <w:pPr>
        <w:ind w:firstLine="360"/>
      </w:pPr>
      <w:r>
        <w:t>II. Saint Clement of Alexandria</w:t>
      </w:r>
      <w:r>
        <w:fldChar w:fldCharType="begin"/>
      </w:r>
      <w:r>
        <w:instrText xml:space="preserve"> XE "Saint Clement of Alexandria" \f "Persons"</w:instrText>
      </w:r>
      <w:r>
        <w:fldChar w:fldCharType="end"/>
      </w:r>
      <w:r>
        <w:t xml:space="preserve"> thinks that the stars were given to the Gentiles so that from their appearance they might rise to the worship of the Creator. For he says in </w:t>
      </w:r>
      <w:r>
        <w:rPr>
          <w:i/>
        </w:rPr>
        <w:t>Stromata</w:t>
      </w:r>
      <w:r>
        <w:t xml:space="preserve"> vi, p. 669: Ἔδωκεν δὲ τὸν ἥλιον καὶ τὴν σελήνην καὶ τὰ ἄστρα εἰς θρησκείαν, ἃ ἐποίησεν ὁ Θεὸς τοῖς ἔθνεσι, φησὶν ὁ νόμος, ἵνα μὴ τέλεον ἄθεοι γενόμενοι, τελέως καὶ διαφθαρῶσιν.” He gave the sun and the moon and the stars to be worshiped, which God made for the Gentiles, says the law, so that, not becoming complete atheists, they would not be completely destroyed.” Although he thinks those who fall into the worship of idols are worse, he nevertheless declares condemned those who worship the stars. Ναὶ μὴν κἀκεῖνοι οἱ ἀπὸ τῆς τῶν ἄστρων σεβάσεως μὴ ἐπαναδραμόντες ἐπὶ τὸν τούτων ποιητήν. Ὁδὸς γὰρ ἦν αὐτὴ δοθεῖσα τοῖς ἔθνεσιν, ἀνακύψαι πρὸς τὸν Θεὸν διὰ τῆς τῶν ἄστρων θρησκείας. “But those also are judged who have not turned back from the worship of the stars to their Maker. For this way was given to the Gentiles, to look up to God through the worship of the stars.”</w:t>
      </w:r>
    </w:p>
    <w:p w14:paraId="5D03547D" w14:textId="77777777" w:rsidR="005C2B3E" w:rsidRDefault="00000000">
      <w:pPr>
        <w:ind w:firstLine="360"/>
      </w:pPr>
      <w:r>
        <w:t>Origen</w:t>
      </w:r>
      <w:r>
        <w:fldChar w:fldCharType="begin"/>
      </w:r>
      <w:r>
        <w:instrText xml:space="preserve"> XE "Origen" \f "Persons"</w:instrText>
      </w:r>
      <w:r>
        <w:fldChar w:fldCharType="end"/>
      </w:r>
      <w:r>
        <w:t xml:space="preserve">, in volume ii </w:t>
      </w:r>
      <w:r>
        <w:rPr>
          <w:i/>
        </w:rPr>
        <w:t>on John</w:t>
      </w:r>
      <w:r>
        <w:fldChar w:fldCharType="begin"/>
      </w:r>
      <w:r>
        <w:instrText xml:space="preserve"> XE "John" \f "Persons"</w:instrText>
      </w:r>
      <w:r>
        <w:fldChar w:fldCharType="end"/>
      </w:r>
      <w:r>
        <w:t>, says that those who before him said that the sun and moon and stars were given to those less worthy, so that God might be the God of gods and their God, took the words of Deuteronomy</w:t>
      </w:r>
      <w:r>
        <w:fldChar w:fldCharType="begin"/>
      </w:r>
      <w:r>
        <w:instrText xml:space="preserve"> XE "Deuteronomy" \f "Persons"</w:instrText>
      </w:r>
      <w:r>
        <w:fldChar w:fldCharType="end"/>
      </w:r>
      <w:r>
        <w:t xml:space="preserve"> in this sense: </w:t>
      </w:r>
      <w:r>
        <w:rPr>
          <w:i/>
        </w:rPr>
        <w:t>that those who cannot turn to the intelligible nature, suspecting that divinity is in bodily things and those subject to the senses, or willingly rest in these, have not fallen into idols and demons:</w:t>
      </w:r>
      <w:r>
        <w:t xml:space="preserve"> for </w:t>
      </w:r>
      <w:r>
        <w:lastRenderedPageBreak/>
        <w:t xml:space="preserve">although </w:t>
      </w:r>
      <w:r>
        <w:rPr>
          <w:i/>
        </w:rPr>
        <w:t>they stray from God,</w:t>
      </w:r>
      <w:r>
        <w:t xml:space="preserve"> still their error is far preferable to the error of those who call the works of men gods.</w:t>
      </w:r>
    </w:p>
    <w:p w14:paraId="63CD2409" w14:textId="77777777" w:rsidR="005C2B3E" w:rsidRDefault="00000000">
      <w:pPr>
        <w:ind w:firstLine="360"/>
      </w:pPr>
      <w:r>
        <w:t>Eusebius of Caesarea</w:t>
      </w:r>
      <w:r>
        <w:fldChar w:fldCharType="begin"/>
      </w:r>
      <w:r>
        <w:instrText xml:space="preserve"> XE "Eusebius of Caesarea" \f "Persons"</w:instrText>
      </w:r>
      <w:r>
        <w:fldChar w:fldCharType="end"/>
      </w:r>
      <w:r>
        <w:t xml:space="preserve">, in </w:t>
      </w:r>
      <w:r>
        <w:rPr>
          <w:i/>
        </w:rPr>
        <w:t>Demonstration of the Gospel</w:t>
      </w:r>
      <w:r>
        <w:t xml:space="preserve"> book iv, chapter 8, thinks that Moses</w:t>
      </w:r>
      <w:r>
        <w:fldChar w:fldCharType="begin"/>
      </w:r>
      <w:r>
        <w:instrText xml:space="preserve"> XE "Moses" \f "Persons"</w:instrText>
      </w:r>
      <w:r>
        <w:fldChar w:fldCharType="end"/>
      </w:r>
      <w:r>
        <w:t xml:space="preserve"> and Paul</w:t>
      </w:r>
      <w:r>
        <w:fldChar w:fldCharType="begin"/>
      </w:r>
      <w:r>
        <w:instrText xml:space="preserve"> XE "Paul" \f "Persons"</w:instrText>
      </w:r>
      <w:r>
        <w:fldChar w:fldCharType="end"/>
      </w:r>
      <w:r>
        <w:t xml:space="preserve"> in the Epistle to the Romans 1:19 teach the same thing here, and he says that the stars were given to the Gentiles *so that they would not turn aside to opposing powers and demons: for from them, in a way, the sight of the one who is invisible is shown, as through a certain mirror.*</w:t>
      </w:r>
    </w:p>
    <w:p w14:paraId="4FEC6B4C" w14:textId="77777777" w:rsidR="005C2B3E" w:rsidRDefault="00000000">
      <w:pPr>
        <w:ind w:firstLine="360"/>
      </w:pPr>
      <w:r>
        <w:t>Especially unfair is Jurius</w:t>
      </w:r>
      <w:r>
        <w:fldChar w:fldCharType="begin"/>
      </w:r>
      <w:r>
        <w:instrText xml:space="preserve"> XE "Jurius" \f "Persons"</w:instrText>
      </w:r>
      <w:r>
        <w:fldChar w:fldCharType="end"/>
      </w:r>
      <w:r>
        <w:t xml:space="preserve"> toward Saint</w:t>
      </w:r>
      <w:r>
        <w:fldChar w:fldCharType="begin"/>
      </w:r>
      <w:r>
        <w:instrText xml:space="preserve"> XE "Saint" \f "Persons"</w:instrText>
      </w:r>
      <w:r>
        <w:fldChar w:fldCharType="end"/>
      </w:r>
      <w:r>
        <w:t xml:space="preserve"> Augustine</w:t>
      </w:r>
      <w:r>
        <w:fldChar w:fldCharType="begin"/>
      </w:r>
      <w:r>
        <w:instrText xml:space="preserve"> XE "Augustine" \f "Persons"</w:instrText>
      </w:r>
      <w:r>
        <w:fldChar w:fldCharType="end"/>
      </w:r>
      <w:r>
        <w:t xml:space="preserve">, whom, while he says he comes close to the error of others, he attributes to him an opinion that, if Augustine had held it, he would have erred much worse. He interprets the passage in Deuteronomy this way: “It was not said in such a way as if God commanded these to be worshiped by the Gentiles, but not to be worshiped by his own people alone; but either it was said because God foresaw that the Gentiles would offer worship to these heavenly bodies, and yet, foreseeing this, he created them, and foresaw that his own people would be those who would not worship these; or it was </w:t>
      </w:r>
      <w:r>
        <w:rPr>
          <w:i/>
        </w:rPr>
        <w:t>distributed</w:t>
      </w:r>
      <w:r>
        <w:t xml:space="preserve"> (said) so that the use recommended in Genesis might be understood, that they be for signs, etc.” Jurius is inexcusable who renders Augustine’s words: </w:t>
      </w:r>
      <w:r>
        <w:rPr>
          <w:i/>
        </w:rPr>
        <w:t>And yet, foreseeing this, he created them,</w:t>
      </w:r>
      <w:r>
        <w:t xml:space="preserve"> as </w:t>
      </w:r>
      <w:r>
        <w:rPr>
          <w:i/>
        </w:rPr>
        <w:t>he did not fail to create them with this view</w:t>
      </w:r>
      <w:r>
        <w:t>, as if Augustine had written: *And yet he created them with the purpose that they be worshiped.*</w:t>
      </w:r>
    </w:p>
    <w:p w14:paraId="3BDD3061" w14:textId="77777777" w:rsidR="005C2B3E" w:rsidRDefault="00000000">
      <w:pPr>
        <w:ind w:firstLine="360"/>
      </w:pPr>
      <w:r>
        <w:t>We can therefore establish that none of the ancient Fathers thought that the worship of the stars was allowed or permitted by God's concession to the Gentiles; rather, all condemn this superstition and say that the stars were given to the Gentiles either to urge them to contemplate the Creator, or to serve the Gentiles as signs and times, or because the Gentiles, abandoned to just blindness, fell into this worship. Isidore of Pelusium</w:t>
      </w:r>
      <w:r>
        <w:fldChar w:fldCharType="begin"/>
      </w:r>
      <w:r>
        <w:instrText xml:space="preserve"> XE "Isidore of Pelusium" \f "Persons"</w:instrText>
      </w:r>
      <w:r>
        <w:fldChar w:fldCharType="end"/>
      </w:r>
      <w:r>
        <w:t xml:space="preserve"> knew no one who had suffered or was suffering from the error that Jurius</w:t>
      </w:r>
      <w:r>
        <w:fldChar w:fldCharType="begin"/>
      </w:r>
      <w:r>
        <w:instrText xml:space="preserve"> XE "Jurius" \f "Persons"</w:instrText>
      </w:r>
      <w:r>
        <w:fldChar w:fldCharType="end"/>
      </w:r>
      <w:r>
        <w:t xml:space="preserve"> attributed to the venerable writers; but if anyone thinks so, he condemns them by the name of ignorance. Εἰ δέ τινες οἴονται ἀπονενεμῆσθαι πρὸς τὸ προσκυνῆσαι αὐτοῖς λαμπρῶς, τὴν οἰκείαν ἀπαιδευσίαν στηλιτεύουσι. “But if some think that they were distributed to be worshiped, they plainly betray their own ignorance.” He himself, like other Fathers, declares that the stars were given to the Gentiles *for discipline and instruction and knowledge, so that from the greatness and beauty of created things the invisible Creator may be seen.*</w:t>
      </w:r>
    </w:p>
    <w:p w14:paraId="2F95D70D" w14:textId="77777777" w:rsidR="005C2B3E" w:rsidRDefault="00000000">
      <w:pPr>
        <w:pStyle w:val="Heading3"/>
      </w:pPr>
      <w:r>
        <w:lastRenderedPageBreak/>
        <w:t>CHAPTER 4</w:t>
      </w:r>
    </w:p>
    <w:p w14:paraId="2267D116" w14:textId="77777777" w:rsidR="005C2B3E" w:rsidRDefault="00000000">
      <w:pPr>
        <w:pStyle w:val="Heading4"/>
      </w:pPr>
      <w:r>
        <w:t>ON THE WORSHIP OF ANGELS</w:t>
      </w:r>
    </w:p>
    <w:p w14:paraId="03CCF7C9" w14:textId="77777777" w:rsidR="005C2B3E" w:rsidRDefault="00000000">
      <w:pPr>
        <w:spacing w:before="180" w:after="0"/>
        <w:ind w:left="720" w:right="320" w:hanging="360"/>
      </w:pPr>
      <w:r>
        <w:t>Notable passages from the First Apology of St. Justin</w:t>
      </w:r>
      <w:r>
        <w:fldChar w:fldCharType="begin"/>
      </w:r>
      <w:r>
        <w:instrText xml:space="preserve"> XE "Justin" \f "Persons"</w:instrText>
      </w:r>
      <w:r>
        <w:fldChar w:fldCharType="end"/>
      </w:r>
      <w:r>
        <w:t xml:space="preserve"> refute false interpretations. II. Athenagoras</w:t>
      </w:r>
      <w:r>
        <w:fldChar w:fldCharType="begin"/>
      </w:r>
      <w:r>
        <w:instrText xml:space="preserve"> XE "Athenagoras" \f "Persons"</w:instrText>
      </w:r>
      <w:r>
        <w:fldChar w:fldCharType="end"/>
      </w:r>
      <w:r>
        <w:t xml:space="preserve"> imitates this passage. III. Some points are resolved and explained.</w:t>
      </w:r>
    </w:p>
    <w:p w14:paraId="694A95BC" w14:textId="77777777" w:rsidR="005C2B3E" w:rsidRDefault="00000000">
      <w:r>
        <w:t>I. There is a notable passage about angels in the First Apology of St. Justin, which itself requires some explanation, and from the various interpretations that have been proposed, it must be claimed for one that is fixed and unshaken. Thus the holy martyr, no. 6: Καὶ ὁμολογοῦμεν τῶν τοιούτων νομιζομένων θεῶν ἄθεοι εἷναι, ἀλλʼ οὐχὶ τοῦ ἀληθεστάτου, καὶ Πατρὸς δικαιοσύνης καὶ σωφροσύνης, καὶ τῶν ἄλλων ἀρετῶν, ἀνεπιμίκτου τε κακίας Θεοῦ· ἀλλʼ ἐκεῖνόν τε, καὶ τὸν παρʼ αὐτοῦ Υἱὸν ἐλθόντα καὶ διδάξαντα ἡμᾶς ταῦτα, καὶ τὸν τῶν ἄλλων ἑπομένων καὶ ἐξομοιουμένων ἀγαθῶν ἀγγέλων στρατὸν, Πνεῦμά τε τὸ προφητικὸν σεβόμεθα, καὶ προσκυνοῦμεν, λόγῳ καὶ ἀληθείᾳ τιμῶντες, καὶ παντὶ βουλομένῳ μαθεῖν, ὡς ἐδιδάχθημεν, ἀφθόνως παραδιδόντες.</w:t>
      </w:r>
    </w:p>
    <w:p w14:paraId="6D5F4495" w14:textId="77777777" w:rsidR="005C2B3E" w:rsidRDefault="00000000">
      <w:pPr>
        <w:ind w:firstLine="360"/>
      </w:pPr>
      <w:r>
        <w:t>“We confess indeed that we are atheists if it is about such supposed gods; but not so if it is about that most true God, the Father of justice and temperance, and of the other virtues, a God unmixed with evil. But him and the Son who came from him and taught us these things, and the army of good angels who follow and are made like him, and the prophetic Spirit, we worship and adore, honoring them with reason and truth, and to anyone willing to learn, without envy, as we have been taught, we freely hand over [this teaching].”</w:t>
      </w:r>
    </w:p>
    <w:p w14:paraId="7AD6E88F" w14:textId="77777777" w:rsidR="005C2B3E" w:rsidRDefault="00000000">
      <w:pPr>
        <w:ind w:firstLine="360"/>
      </w:pPr>
      <w:r>
        <w:t>The Protestants interpret this passage differently. Some, like Bull in his defense of the Nicene faith, p. 118, take it as if Justin</w:t>
      </w:r>
      <w:r>
        <w:fldChar w:fldCharType="begin"/>
      </w:r>
      <w:r>
        <w:instrText xml:space="preserve"> XE "Justin" \f "Persons"</w:instrText>
      </w:r>
      <w:r>
        <w:fldChar w:fldCharType="end"/>
      </w:r>
      <w:r>
        <w:t xml:space="preserve"> is saying that we learned these things, namely those concerning the evil angels who are the authors of persecutions, as well as those concerning the good angels, from Christ: but this explanation is rightly rejected by Grab, who however does not offer a much better one. He holds that it should be translated so that Christ and the angels together taught us these things, namely those said a little before about the Father God of justice and temperance and the other virtues. Both interpretations suffer from the fault of violently twisting Justin’s words, which are wonderfully connected and pertain to one and the same purpose. Moreover, from the first interpretation it always follows that the good angels must be worshiped. For if Christ taught us </w:t>
      </w:r>
      <w:r>
        <w:rPr>
          <w:i/>
        </w:rPr>
        <w:t>these things</w:t>
      </w:r>
      <w:r>
        <w:t xml:space="preserve">, namely that the evil ones are demons who are not to be worshiped, and then that the good ones are those who follow the Son of God and bear his image; would it not then follow that honor and worship should be given to these? The other interpretation absurdly holds that both we and the good angels were </w:t>
      </w:r>
      <w:r>
        <w:lastRenderedPageBreak/>
        <w:t xml:space="preserve">taught </w:t>
      </w:r>
      <w:r>
        <w:rPr>
          <w:i/>
        </w:rPr>
        <w:t>these things</w:t>
      </w:r>
      <w:r>
        <w:t xml:space="preserve"> by Christ, namely that the evil demons are not to be worshiped. For the word </w:t>
      </w:r>
      <w:r>
        <w:rPr>
          <w:i/>
        </w:rPr>
        <w:t>these</w:t>
      </w:r>
      <w:r>
        <w:t xml:space="preserve"> means nothing else in this place.</w:t>
      </w:r>
    </w:p>
    <w:p w14:paraId="21A4AD76" w14:textId="77777777" w:rsidR="005C2B3E" w:rsidRDefault="00000000">
      <w:pPr>
        <w:ind w:firstLine="360"/>
      </w:pPr>
      <w:r>
        <w:t>Whoever knows that the purpose of the holy martyr is to prove that Christians are not atheists will be forced to admit that the worship of angels is taught by him. For this was very effective in repelling the charge of atheism. The emperors could not have taken Justin</w:t>
      </w:r>
      <w:r>
        <w:fldChar w:fldCharType="begin"/>
      </w:r>
      <w:r>
        <w:instrText xml:space="preserve"> XE "Justin" \f "Persons"</w:instrText>
      </w:r>
      <w:r>
        <w:fldChar w:fldCharType="end"/>
      </w:r>
      <w:r>
        <w:t xml:space="preserve">’s words in any other sense; especially since nothing else is indicated by the construction of the words, </w:t>
      </w:r>
      <w:r>
        <w:rPr>
          <w:i/>
        </w:rPr>
        <w:t>We worship the Son and the army of good angels who follow him and are made like him.</w:t>
      </w:r>
      <w:r>
        <w:t xml:space="preserve"> Moreover, the good angels are opposed to the evil angels, whom Christians do not want to worship; and these good ones are said to follow the Son as servants and to imitate him, so that it is clear that they are to be worshiped and the evil ones rejected.</w:t>
      </w:r>
    </w:p>
    <w:p w14:paraId="459F56EB" w14:textId="77777777" w:rsidR="005C2B3E" w:rsidRDefault="00000000">
      <w:pPr>
        <w:ind w:firstLine="360"/>
      </w:pPr>
      <w:r>
        <w:t>II. St. Justin</w:t>
      </w:r>
      <w:r>
        <w:fldChar w:fldCharType="begin"/>
      </w:r>
      <w:r>
        <w:instrText xml:space="preserve"> XE "St. Justin" \f "Persons"</w:instrText>
      </w:r>
      <w:r>
        <w:fldChar w:fldCharType="end"/>
      </w:r>
      <w:r>
        <w:t>’s footsteps are followed by Athenagoras</w:t>
      </w:r>
      <w:r>
        <w:fldChar w:fldCharType="begin"/>
      </w:r>
      <w:r>
        <w:instrText xml:space="preserve"> XE "Athenagoras" \f "Persons"</w:instrText>
      </w:r>
      <w:r>
        <w:fldChar w:fldCharType="end"/>
      </w:r>
      <w:r>
        <w:t xml:space="preserve"> in refuting the same charge. After teaching that God in three persons, the Father, the Son, and the Holy Spirit, is worshiped by Christians, he then proceeds to the angels in this way: </w:t>
      </w:r>
      <w:r>
        <w:rPr>
          <w:i/>
        </w:rPr>
        <w:t>Let him read</w:t>
      </w:r>
      <w:r>
        <w:t>, no. 10: Καὶ οὐκ ἐπὶ τούτοις τὸ θεολογικὸν ἡμῶν ἴσταται μέρος· ἀλλὰ καὶ πλῆθος ἀγγέλων καὶ λειτουργῶν φαμεν, οὓς ὁ ποιητὴς καὶ δημιουργὸς κόσμου Θεὸς διὰ τοῦ παρʼ αὐτοῦ Λογου διένειμε καὶ διέταξε περί τε τὰ στοιχεία εἶναι καὶ τοὺς οὐρανοὺς καὶ τὸν κόσμον καὶ τὰ ἐν αὐτῷ, καὶ τὴν τούτων εὐταξίαν. “Nor is the scope of our theology limited to these; but we also acknowledge a multitude of angels and ministers, whom the Creator and maker of the world, God, through his Word distributed and arranged to be around the elements, the heavens, the world, and what is in it, and their order.”</w:t>
      </w:r>
    </w:p>
    <w:p w14:paraId="0CD6410D" w14:textId="77777777" w:rsidR="005C2B3E" w:rsidRDefault="00000000">
      <w:pPr>
        <w:ind w:firstLine="360"/>
      </w:pPr>
      <w:r>
        <w:t>This mention of angels and the benefits we receive from them, and the service they offer to the Word, has the same use with this writer as with Justin</w:t>
      </w:r>
      <w:r>
        <w:fldChar w:fldCharType="begin"/>
      </w:r>
      <w:r>
        <w:instrText xml:space="preserve"> XE "Justin" \f "Persons"</w:instrText>
      </w:r>
      <w:r>
        <w:fldChar w:fldCharType="end"/>
      </w:r>
      <w:r>
        <w:t>, namely to drive away the charge of atheism from Christians. Indeed, Athenagoras</w:t>
      </w:r>
      <w:r>
        <w:fldChar w:fldCharType="begin"/>
      </w:r>
      <w:r>
        <w:instrText xml:space="preserve"> XE "Athenagoras" \f "Persons"</w:instrText>
      </w:r>
      <w:r>
        <w:fldChar w:fldCharType="end"/>
      </w:r>
      <w:r>
        <w:t xml:space="preserve"> seems at first glance to go further than Justin. For in ancient times theology usually meant the preaching of the divine nature; and from this Barbeyrac took hold to criticize Athenagoras. But this word can mean the doctrine revealed by God; or if it means the worship of the divine nature, it is not wrongly connected by Athenagoras with the honor given to angels, because whatever honor we give to angels is referred to God.</w:t>
      </w:r>
    </w:p>
    <w:p w14:paraId="128A54BC" w14:textId="77777777" w:rsidR="005C2B3E" w:rsidRDefault="00000000">
      <w:pPr>
        <w:ind w:firstLine="360"/>
      </w:pPr>
      <w:r>
        <w:t>III. It should not be displeasing or troublesome that Justin</w:t>
      </w:r>
      <w:r>
        <w:fldChar w:fldCharType="begin"/>
      </w:r>
      <w:r>
        <w:instrText xml:space="preserve"> XE "Justin" \f "Persons"</w:instrText>
      </w:r>
      <w:r>
        <w:fldChar w:fldCharType="end"/>
      </w:r>
      <w:r>
        <w:t xml:space="preserve"> joins angels to the Word. He joins them as servants and followers, and this agrees with Scripture. For in Revelation 19:14, it is said of the Word: </w:t>
      </w:r>
      <w:r>
        <w:rPr>
          <w:i/>
        </w:rPr>
        <w:t>And the armies which are in heaven follow him on white horses, clothed in fine white linen.</w:t>
      </w:r>
      <w:r>
        <w:t xml:space="preserve"> Nor did the holy martyr leave room for error when he so clearly declared how great the difference is between the Son and the angels: certainly no more than Saint Ignatius, who says in his letter to the Romans, no. 12: Πρέπει γὰρ ὑμῖν τοῖς καθʼ ἔνα, ἐξαιρέτως καὶ τοῖς πρεσβυτέροις, ἀναψύχειν τὸν ἐπίσκοπον εἰς τιμὴν Πατρὸς, Ἰησοῦ Χριστοῦ, καὶ τῶν ἀποστόλων. “It is fitting for each </w:t>
      </w:r>
      <w:r>
        <w:lastRenderedPageBreak/>
        <w:t>of you, and especially the presbyters, to support the bishop, in honor of the Father, Jesus Christ, and the apostles.”</w:t>
      </w:r>
    </w:p>
    <w:p w14:paraId="5FE16EEF" w14:textId="77777777" w:rsidR="005C2B3E" w:rsidRDefault="00000000">
      <w:pPr>
        <w:ind w:firstLine="360"/>
      </w:pPr>
      <w:r>
        <w:t xml:space="preserve">The twofold phrase, σέβομεν καὶ προσκυνοῦμεν, “we honor and worship,” is objected to in vain. For the first indeed refers to the angels themselves, considering the distinction that exists between the Creator and the created thing. But the second does not necessarily include the angels. Often two words joined together are not applied to one and the same thing, but are referred by the judgment of readers to different things: an example of this I have especially noted in the commentary on question 137 </w:t>
      </w:r>
      <w:r>
        <w:rPr>
          <w:i/>
        </w:rPr>
        <w:t>to the orthodox</w:t>
      </w:r>
      <w:r>
        <w:t>.</w:t>
      </w:r>
    </w:p>
    <w:p w14:paraId="6669C154" w14:textId="77777777" w:rsidR="005C2B3E" w:rsidRDefault="00000000">
      <w:pPr>
        <w:pStyle w:val="Heading3"/>
      </w:pPr>
      <w:r>
        <w:t>CHAPTER 5</w:t>
      </w:r>
    </w:p>
    <w:p w14:paraId="022AB30C" w14:textId="77777777" w:rsidR="005C2B3E" w:rsidRDefault="00000000">
      <w:pPr>
        <w:pStyle w:val="Heading4"/>
      </w:pPr>
      <w:r>
        <w:t>THE OPINION OF THEOPHILUS ON THE STATE IN WHICH ADAM WAS CREATED</w:t>
      </w:r>
    </w:p>
    <w:p w14:paraId="3B238CAE" w14:textId="77777777" w:rsidR="005C2B3E" w:rsidRDefault="00000000">
      <w:pPr>
        <w:spacing w:before="180" w:after="0"/>
        <w:ind w:left="720" w:right="320" w:hanging="360"/>
      </w:pPr>
      <w:r>
        <w:t>Theophilus</w:t>
      </w:r>
      <w:r>
        <w:fldChar w:fldCharType="begin"/>
      </w:r>
      <w:r>
        <w:instrText xml:space="preserve"> XE "Theophilus" \f "Persons"</w:instrText>
      </w:r>
      <w:r>
        <w:fldChar w:fldCharType="end"/>
      </w:r>
      <w:r>
        <w:t xml:space="preserve"> assigns infancy to Adam either because of innocence or because of recent creation. II. Many others have spoken in the same way. III. The unique opinion of St. Clement of Alexandria.</w:t>
      </w:r>
    </w:p>
    <w:p w14:paraId="5DD8C754" w14:textId="77777777" w:rsidR="005C2B3E" w:rsidRDefault="00000000">
      <w:r>
        <w:t>I. At first glance, Theophilus</w:t>
      </w:r>
      <w:r>
        <w:fldChar w:fldCharType="begin"/>
      </w:r>
      <w:r>
        <w:instrText xml:space="preserve"> XE "Theophilus" \f "Persons"</w:instrText>
      </w:r>
      <w:r>
        <w:fldChar w:fldCharType="end"/>
      </w:r>
      <w:r>
        <w:t xml:space="preserve"> seems to think that Adam was created in a certain state of infancy, lacking the knowledge suitable to a mature age. But so that his statement is not condemned without cause, his words must be examined carefully. Thus, in book 2, section 25, he says: Οὐ γὰρ ὡς οἵονταί τινες, θάνατον εἶχε τὸ ξύλον, ἀλλʼ ἡ παρακοή. For the tree did not have death, as some suppose, but disobedience. Οὐ γάρ τι ἕτερον ἦν ἐν τῷ καρπῷ ἢ μόνον γνῶσις· ἡ δὲ γνῶσις καλὴ, ἐπὰν αὐτῇ οἰκείως τις χρήσηται. For there was nothing else in the fruit but knowledge alone; and knowledge is good, if one uses it properly. Τῇ δὲ οὔσῃ ἡλικίᾳ ὁ Ἀδὰμ ἔτι νήπιος ἦν, διὸ οὔπω ἠδύνατο τὴν γνῶσιν κατὰ ἀξίαν χωρεῖν. And at that age, Adam was still an infant, therefore he was not yet able to receive knowledge properly. Καὶ γὰρ νῦν, ἐπὰν γενηθῇ παιδίον, οὐκ ἤδη δύναται ἄρτον ἐσθίειν, ἀλλὰ πρῶτον γάλακτι ἀνατρέφεται, ἔπειτα κατὰ πρόσβασιν τῆς ἡλικίας, καὶ ἐπὶ τὴν στερεὰν τροφὴν ἔρχεται. For even now, when a child is born, he cannot yet eat bread, but is first nourished with milk, then as he grows in age, he comes to solid food. Οὕτως ἂν ἐγεγόνει καὶ τῷ Ἀδάμ. So it would have been the same for Adam. Διὸ οὐχ ὡς φθονῶν αὐτῷ ὁ Θεὸς, ὡς οἵονταί τινες, ἐκέλευσε μὴ ἐσθίειν ἀπὸ τῆς γνώσεως. Therefore, God did not forbid him to eat from the knowledge as if envying him, as some suppose. Ἔτι μὴν καὶ ἐβούλετο δοκιμάσαι αὐτὸν, εἰ ὑπήκοος γίνεται τῇ ἐντολῇ αὐτοῦ. Moreover, he wanted to test him to see if he would obey his command. Ἅμα δὴ καὶ ἐπὶ πλείονα χρόνον ἠβούλετο ἁπλοῦν καὶ ἀκέραιον διαμεῖναι τὸν ἄνθρωπον νηπιάζοντα. At the same time, he wished the man to remain simple and pure, like a child, for a longer time. Τοῦτο γὰρ ὅσιόν ἐστιν, οὐ μόνον παρὰ Θεῷ, ἀλλὰ καὶ παρὰ ἀνθρώποις, τὸ ἐν ἁπλότητι καὶ ἀκακίᾳ ὑποτάσσεσθαι τοῖς γονεῦσιν. For this </w:t>
      </w:r>
      <w:r>
        <w:lastRenderedPageBreak/>
        <w:t>is holy, not only before God, but also before men, to submit in simplicity and innocence to one's parents. Ἔτι δὲ χρὴ τὰ τέκνα τοῖς γονεῦσιν ὑποτάσσεσθαι. Moreover, children must obey their parents. Εἰ δὲ χρὴ τὰ τέκνα τοῖς γονεῦσιν ὑποτάσσεσθαι, πόσῳ μᾶλλον τῷ Θεῷ καὶ Πατρὶ τῶν ὅλων; If children must obey their parents, how much more must they obey God, the Father of all? Ἔτι μὴν καὶ ἄσχημόν ἐστι τὰ παιδία τὰ νήπια ὑπὲρ ἡλικίαν φρονεῖν· καθάπερ γὰρ τῇ ἡλικίᾳ τις πρὸς τάξιν αὔξει, οὕτω καὶ ἐν τῷ φρονεῖν. Moreover, it is improper for children to be wiser than their age; just as one grows in stature by age, so also in understanding.</w:t>
      </w:r>
    </w:p>
    <w:p w14:paraId="6063C35F" w14:textId="77777777" w:rsidR="005C2B3E" w:rsidRDefault="00000000">
      <w:pPr>
        <w:ind w:firstLine="360"/>
      </w:pPr>
      <w:r>
        <w:t>“Nor, as some think, was the tree deadly, but the transgression of the command. For there was nothing else in the tree but knowledge; and knowledge is good if someone uses it properly. But at what age was Adam? He was still an infant and could not yet be fit to receive knowledge. For even now, when a child is born, he cannot yet eat bread but is first nourished with milk, then as he grows in age, he comes to solid food. The same would have happened to Adam. Therefore, God did not forbid him to eat from the tree of knowledge out of envy, as some think. He still wanted to test him to see if he would obey his command. At the same time, he wished the man to remain simple and pure, like a child, for a longer time. For this is holy, not only before God but also before men, to submit in simplicity and innocence to parents. And children must obey their parents. If children must obey their parents, how much more must they obey God, the Father of all? Moreover, it is improper for children to be wiser than their age; just as one grows in stature by age, so also in understanding.”</w:t>
      </w:r>
    </w:p>
    <w:p w14:paraId="6E4AF5E4" w14:textId="77777777" w:rsidR="005C2B3E" w:rsidRDefault="00000000">
      <w:pPr>
        <w:ind w:firstLine="360"/>
      </w:pPr>
      <w:r>
        <w:t>Who does not see, if he pays attention, that the infancy attributed to Adam is not without metaphor? First, Theophilus</w:t>
      </w:r>
      <w:r>
        <w:fldChar w:fldCharType="begin"/>
      </w:r>
      <w:r>
        <w:instrText xml:space="preserve"> XE "Theophilus" \f "Persons"</w:instrText>
      </w:r>
      <w:r>
        <w:fldChar w:fldCharType="end"/>
      </w:r>
      <w:r>
        <w:t xml:space="preserve"> traces this apparent infancy both to Adam’s recent creation and to that middle state in which he was created. For scarcely had he been created when God brought him into paradise, </w:t>
      </w:r>
      <w:r>
        <w:rPr>
          <w:i/>
        </w:rPr>
        <w:t>setting before him the incentives to progress, so that growing and finally perfect, even declared a god, he might thus ascend into heaven. For he was born a middle man, neither entirely mortal nor completely immortal.</w:t>
      </w:r>
      <w:r>
        <w:t xml:space="preserve"> Hence that infancy, because he was both newly created and created in a certain middle way. Although he was instructed in the knowledge of the greatest things, this knowledge seemed like infancy compared with what was promised in heaven. What kind of knowledge Theophilus assigns to Adam even in that, which he calls the middle state, can be seen from the names Adam gave to all the animals. For Theophilus considers this to be a sign of great knowledge (book 2, section 13). Second, he says Adam was a child in a certain way because of his simplicity and obedience, which he owed to God as a son to his father. From this, he says a command was imposed on him to remain for a long time in that state, as if in childhood: which indeed no one has ever said about childhood, since it is joined with weakness of mind and body.</w:t>
      </w:r>
    </w:p>
    <w:p w14:paraId="4CC818A0" w14:textId="77777777" w:rsidR="005C2B3E" w:rsidRDefault="00000000">
      <w:pPr>
        <w:ind w:firstLine="360"/>
      </w:pPr>
      <w:r>
        <w:lastRenderedPageBreak/>
        <w:t>II. Saint Irenaeus</w:t>
      </w:r>
      <w:r>
        <w:fldChar w:fldCharType="begin"/>
      </w:r>
      <w:r>
        <w:instrText xml:space="preserve"> XE "Saint Irenaeus" \f "Persons"</w:instrText>
      </w:r>
      <w:r>
        <w:fldChar w:fldCharType="end"/>
      </w:r>
      <w:r>
        <w:t xml:space="preserve"> follows Theophilus</w:t>
      </w:r>
      <w:r>
        <w:fldChar w:fldCharType="begin"/>
      </w:r>
      <w:r>
        <w:instrText xml:space="preserve"> XE "Theophilus" \f "Persons"</w:instrText>
      </w:r>
      <w:r>
        <w:fldChar w:fldCharType="end"/>
      </w:r>
      <w:r>
        <w:t xml:space="preserve"> and does not depart from his opinion. For what he says in book 3, chapter 22, section 4: “Both were naked (in paradise) and were not ashamed, because a little before they were made, they did not have understanding of the generation of children; for it was necessary for them first to grow up, then to multiply thus;” can be explained from chapter 23, where he speaks of Adam’s repentance in section 5: “Because he had lost his nature and childish sense, and had come to the thought of worse things, he put a bridle of self-control on himself and his wife, fearing God and awaiting his coming.” What else can childish nature and sense, which are lost by sinning, be but innocence? Likewise, Tertullian</w:t>
      </w:r>
      <w:r>
        <w:fldChar w:fldCharType="begin"/>
      </w:r>
      <w:r>
        <w:instrText xml:space="preserve"> XE "Tertullian" \f "Persons"</w:instrText>
      </w:r>
      <w:r>
        <w:fldChar w:fldCharType="end"/>
      </w:r>
      <w:r>
        <w:t xml:space="preserve"> says in the book </w:t>
      </w:r>
      <w:r>
        <w:rPr>
          <w:i/>
        </w:rPr>
        <w:t>On Veiling Virgins</w:t>
      </w:r>
      <w:r>
        <w:t>, chapter 11: “For the first parents of the race, Adam and Eve, as long as they lacked understanding, did nothing. But when they tasted from the tree of knowledge, the first thing they felt was shame. Therefore, they marked the understanding of their own sex with a covering.”</w:t>
      </w:r>
    </w:p>
    <w:p w14:paraId="33658213" w14:textId="77777777" w:rsidR="005C2B3E" w:rsidRDefault="00000000">
      <w:pPr>
        <w:ind w:firstLine="360"/>
      </w:pPr>
      <w:r>
        <w:t>Gregory</w:t>
      </w:r>
      <w:r>
        <w:fldChar w:fldCharType="begin"/>
      </w:r>
      <w:r>
        <w:instrText xml:space="preserve"> XE "Gregory" \f "Persons"</w:instrText>
      </w:r>
      <w:r>
        <w:fldChar w:fldCharType="end"/>
      </w:r>
      <w:r>
        <w:t xml:space="preserve"> Nazianzen</w:t>
      </w:r>
      <w:r>
        <w:fldChar w:fldCharType="begin"/>
      </w:r>
      <w:r>
        <w:instrText xml:space="preserve"> XE "Gregory Nazianzen" \f "Persons"</w:instrText>
      </w:r>
      <w:r>
        <w:fldChar w:fldCharType="end"/>
      </w:r>
      <w:r>
        <w:t xml:space="preserve">, who speaks thus in </w:t>
      </w:r>
      <w:r>
        <w:rPr>
          <w:i/>
        </w:rPr>
        <w:t>Oration</w:t>
      </w:r>
      <w:r>
        <w:t xml:space="preserve"> 38, p. 619, must be heard in the same opinion: Θεωρία γὰρ ἦν τὸ φυτὸν, ὡς ἡ ἐμὴ θεωρία, ἧς μόνοις ἐπιβαίνειν ἀσφαλὲς τοῖς τὴν ἕξιν τελεωτέροις, οὐ καλὸν δὲ τοῖς ἁπλουστέροις ἔτι καὶ τὴν ἔφεσιν λιχνοτέροις· ὥσπερ οὐδὲ τροφὴ τελεία λυσιτελὴς τοῖς ἁπαλοῖς ἔτι καὶ δεομένοις γάλακτος.</w:t>
      </w:r>
    </w:p>
    <w:p w14:paraId="583BE579" w14:textId="77777777" w:rsidR="005C2B3E" w:rsidRDefault="00000000">
      <w:pPr>
        <w:ind w:firstLine="360"/>
      </w:pPr>
      <w:r>
        <w:t>“This tree was contemplation, as my own contemplation is, to which only those who are more perfect in the habit of mind can safely ascend, but not good for simpler minds still and those with a more eager appetite; just as perfect and solid food is not helpful to those who are still tender in age and need milk.”</w:t>
      </w:r>
    </w:p>
    <w:p w14:paraId="0CDF333E" w14:textId="77777777" w:rsidR="005C2B3E" w:rsidRDefault="00000000">
      <w:pPr>
        <w:ind w:firstLine="360"/>
      </w:pPr>
      <w:r>
        <w:t>Saint</w:t>
      </w:r>
      <w:r>
        <w:fldChar w:fldCharType="begin"/>
      </w:r>
      <w:r>
        <w:instrText xml:space="preserve"> XE "Saint" \f "Persons"</w:instrText>
      </w:r>
      <w:r>
        <w:fldChar w:fldCharType="end"/>
      </w:r>
      <w:r>
        <w:t xml:space="preserve"> John Damascene</w:t>
      </w:r>
      <w:r>
        <w:fldChar w:fldCharType="begin"/>
      </w:r>
      <w:r>
        <w:instrText xml:space="preserve"> XE "Saint John Damascene" \f "Persons"</w:instrText>
      </w:r>
      <w:r>
        <w:fldChar w:fldCharType="end"/>
      </w:r>
      <w:r>
        <w:t xml:space="preserve"> uses these words of Saint Gregory</w:t>
      </w:r>
      <w:r>
        <w:fldChar w:fldCharType="begin"/>
      </w:r>
      <w:r>
        <w:instrText xml:space="preserve"> XE "Gregory" \f "Persons"</w:instrText>
      </w:r>
      <w:r>
        <w:fldChar w:fldCharType="end"/>
      </w:r>
      <w:r>
        <w:t xml:space="preserve"> in his book 2 </w:t>
      </w:r>
      <w:r>
        <w:rPr>
          <w:i/>
        </w:rPr>
        <w:t>On the Orthodox Faith</w:t>
      </w:r>
      <w:r>
        <w:t>, chapter 11.</w:t>
      </w:r>
    </w:p>
    <w:p w14:paraId="69BD94A8" w14:textId="77777777" w:rsidR="005C2B3E" w:rsidRPr="00AE0150" w:rsidRDefault="00000000">
      <w:pPr>
        <w:ind w:firstLine="360"/>
        <w:rPr>
          <w:lang w:val="el-GR"/>
        </w:rPr>
      </w:pPr>
      <w:r>
        <w:t>John Chrysostom</w:t>
      </w:r>
      <w:r>
        <w:fldChar w:fldCharType="begin"/>
      </w:r>
      <w:r>
        <w:instrText xml:space="preserve"> XE "John Chrysostom" \f "Persons"</w:instrText>
      </w:r>
      <w:r>
        <w:fldChar w:fldCharType="end"/>
      </w:r>
      <w:r>
        <w:t xml:space="preserve">, although he refutes at length in homily 16 on Genesis those who said that Adam acquired the knowledge of good and evil after eating from the tree, nevertheless does not hesitate to call him a tender child in homily 14. For he says, “Just as a loving father imposes moderate care on his tender son, lest he grow proud through idleness, so God entrusted Adam with the work and guardianship of paradise.” Theodoret, question 28 on Genesis, speaks thus: Οὐδὲ τὰ κομιδῇ νέα παιδία ἐρυθριᾷν πέφυκε τῆς ἐσθῆτος γεγυμνωμένα. Κατὰ βραχὺ δὲ τοῦ σώματος αὐξανομένου καὶ τοῦ νοῦ λοιπὸν ἀρχομένου τὴν οἰκείαν φύσιν ἐπιδεικνύναι, οὐκ ἔτι λοιπὸν φορητὴ τοῖς μειρακίοις ἡ γύμνωσις, ἀλλʼ ἐρυθριῶσι καὶ περιβάλλονται.… Οὕτω καὶ οἱ περὶ τὸν Ἀδὰμ εὐθὺς μὲν διαπλασθέντες, οἷα δὴ νήπιοι καὶ εὐθυγενεῖς καὶ τῆς ἁμαρτίας ἀμύητοι οὐκ ᾑσχύνοντο δίχα περιβολαίων διάγοντες. </w:t>
      </w:r>
      <w:r w:rsidRPr="00AE0150">
        <w:rPr>
          <w:lang w:val="el-GR"/>
        </w:rPr>
        <w:t>Μετὰ δὲ τὴν πεῖραν τοῖς φύλλοις ἕνια τοῦ σώματος συνεκάλυψαν μόρια.</w:t>
      </w:r>
    </w:p>
    <w:p w14:paraId="28FCE7A5" w14:textId="77777777" w:rsidR="005C2B3E" w:rsidRDefault="00000000">
      <w:pPr>
        <w:ind w:firstLine="360"/>
      </w:pPr>
      <w:r>
        <w:lastRenderedPageBreak/>
        <w:t>“Younger children, naked of clothing, are not by nature accustomed to blush; but gradually, as the body grows and the mind begins to show its own nature, youths no longer patiently endure being naked, but they blush and cover themselves.… So also those around Adam, immediately formed, like infants and well-born and uninitiated in sin, were not ashamed to live without coverings. But after experience, they covered some parts of the body with leaves.”</w:t>
      </w:r>
    </w:p>
    <w:p w14:paraId="094F6D07" w14:textId="77777777" w:rsidR="005C2B3E" w:rsidRDefault="00000000">
      <w:pPr>
        <w:ind w:firstLine="360"/>
      </w:pPr>
      <w:r>
        <w:t>Here too, infancy does not consist in ignorance, but in innocence, which, lost by sin, felt the stings of desire and were suffused with shame.</w:t>
      </w:r>
    </w:p>
    <w:p w14:paraId="47164EFA" w14:textId="77777777" w:rsidR="005C2B3E" w:rsidRDefault="00000000">
      <w:pPr>
        <w:ind w:firstLine="360"/>
      </w:pPr>
      <w:r>
        <w:t>III</w:t>
      </w:r>
      <w:r>
        <w:fldChar w:fldCharType="begin"/>
      </w:r>
      <w:r>
        <w:instrText xml:space="preserve"> XE "III" \f "Persons"</w:instrText>
      </w:r>
      <w:r>
        <w:fldChar w:fldCharType="end"/>
      </w:r>
      <w:r>
        <w:t>. Clement of Alexandria</w:t>
      </w:r>
      <w:r>
        <w:fldChar w:fldCharType="begin"/>
      </w:r>
      <w:r>
        <w:instrText xml:space="preserve"> XE "Clement of Alexandria" \f "Persons"</w:instrText>
      </w:r>
      <w:r>
        <w:fldChar w:fldCharType="end"/>
      </w:r>
      <w:r>
        <w:t xml:space="preserve">, </w:t>
      </w:r>
      <w:r>
        <w:rPr>
          <w:i/>
        </w:rPr>
        <w:t>Protrepticus</w:t>
      </w:r>
      <w:r>
        <w:t>, p. 69: Ὁ κρῶτος ὅτε ἐν παραδείσῳ ἔπαιζε λελυμένος ἐπεὶ (legendum videtur ἔτι) παιδίον ἦν τοῦ Θεοῦ. Ὅτε δὲ ὐπέπιπτεν ἡδονῇ.… παρήγετο ἐπιθυμίαις ὁ παῖς, ἀνδριζόμενος ἀπειθείᾳ, καὶ παρακούσας τοῦ Πατρὸς ἠσχύνετο τὸν Θεόν.</w:t>
      </w:r>
    </w:p>
    <w:p w14:paraId="3DE0B7D2" w14:textId="77777777" w:rsidR="005C2B3E" w:rsidRDefault="00000000">
      <w:pPr>
        <w:ind w:firstLine="360"/>
      </w:pPr>
      <w:r>
        <w:t>“The first man, when he played freely in paradise, was still a child of God. But after he yielded to pleasure … the boy was led away by desires, becoming a man in disobedience, and having broken the father's command, he dishonored God.”</w:t>
      </w:r>
    </w:p>
    <w:p w14:paraId="70F8B573" w14:textId="77777777" w:rsidR="005C2B3E" w:rsidRDefault="00000000">
      <w:pPr>
        <w:ind w:firstLine="360"/>
      </w:pPr>
      <w:r>
        <w:t>The same writer, having engaged in controversy with heretics, was led to some conjectures, which it will not be unpleasant to relate here. For since the heretics blamed the Creator and his works, and insisted that Adam and Eve would never have used marriage unless they had been driven to this union by the serpent’s impulse, Clement</w:t>
      </w:r>
      <w:r>
        <w:fldChar w:fldCharType="begin"/>
      </w:r>
      <w:r>
        <w:instrText xml:space="preserve"> XE "Clement" \f "Persons"</w:instrText>
      </w:r>
      <w:r>
        <w:fldChar w:fldCharType="end"/>
      </w:r>
      <w:r>
        <w:t xml:space="preserve"> denies that the first parents sinned in using marriage, </w:t>
      </w:r>
      <w:r>
        <w:rPr>
          <w:i/>
        </w:rPr>
        <w:t>but that they used it before the proper time, as they were still young</w:t>
      </w:r>
      <w:r>
        <w:t xml:space="preserve">. Ἐκινήθησαν δὲ θᾶττον ἢ προσῆκον ἦν ἔτι νέοι πεφυκότες ἀπάτῃ παραχθέντες, </w:t>
      </w:r>
      <w:r>
        <w:rPr>
          <w:i/>
        </w:rPr>
        <w:t>Stromata</w:t>
      </w:r>
      <w:r>
        <w:t xml:space="preserve"> iii, p. 470. The same author had said a little earlier by way of conjecture, namely on p. 466, that man did not stray by a fault of creation, but by love of pleasure, </w:t>
      </w:r>
      <w:r>
        <w:rPr>
          <w:i/>
        </w:rPr>
        <w:t>perhaps because our first parent anticipated the proper time and sought the untimely grace of marriage</w:t>
      </w:r>
      <w:r>
        <w:t xml:space="preserve">, Τάχα που προλαβόντος ἡμῶν τὸν καιρὸν τοῦ πρωτοπλάστου καὶ πρὸ ὥρας τῆς τοῦ γάμου χάριτος ὀρεχθέντος. This explanation of the sin of the first parents was not unknown to Saint Augustine. “It seemed to some,” he says, in book 2 of </w:t>
      </w:r>
      <w:r>
        <w:rPr>
          <w:i/>
        </w:rPr>
        <w:t>On Genesis Literally</w:t>
      </w:r>
      <w:r>
        <w:t xml:space="preserve">, no. 57, “that those two first men had stolen their marriage, and had been joined in intercourse before the one who created them had united them, which is what was signified by the name of the tree, from which they were forbidden, until they were joined at the proper time.” Saint Augustine rejects this opinion, </w:t>
      </w:r>
      <w:r>
        <w:rPr>
          <w:i/>
        </w:rPr>
        <w:t>as ridiculous and departing from the nature of things done</w:t>
      </w:r>
      <w:r>
        <w:t xml:space="preserve">. He is gentler with those who thought that </w:t>
      </w:r>
      <w:r>
        <w:rPr>
          <w:i/>
        </w:rPr>
        <w:t>those men anticipated by haste the desire for the knowledge of good and evil, and wished to receive it at an immature time, which was more fittingly deferred to them</w:t>
      </w:r>
      <w:r>
        <w:t xml:space="preserve">. He does not disapprove this view, provided it does not deny the truth of history. “This,” he says, “if perhaps they do not take that tree for its proper meaning, as the true tree and true fruit of it, but as a figure or symbol, </w:t>
      </w:r>
      <w:r>
        <w:lastRenderedPageBreak/>
        <w:t xml:space="preserve">may have some outcome probable for right faith and truth.” It should be read, </w:t>
      </w:r>
      <w:r>
        <w:rPr>
          <w:i/>
        </w:rPr>
        <w:t>Unless perhaps the tree</w:t>
      </w:r>
      <w:r>
        <w:t>, or else we shall seek the meaning in vain.</w:t>
      </w:r>
    </w:p>
    <w:p w14:paraId="1055E588" w14:textId="77777777" w:rsidR="005C2B3E" w:rsidRDefault="00000000">
      <w:pPr>
        <w:ind w:firstLine="360"/>
      </w:pPr>
      <w:r>
        <w:t xml:space="preserve">This opinion about the untimely use of marriage seems drawn from the sources of Philo. For in his book </w:t>
      </w:r>
      <w:r>
        <w:rPr>
          <w:i/>
        </w:rPr>
        <w:t>On the Creation of the World</w:t>
      </w:r>
      <w:r>
        <w:t xml:space="preserve"> he not only interprets the serpent as pleasure, but also teaches that </w:t>
      </w:r>
      <w:r>
        <w:rPr>
          <w:i/>
        </w:rPr>
        <w:t>love came upon Adam and Eve</w:t>
      </w:r>
      <w:r>
        <w:t xml:space="preserve">, </w:t>
      </w:r>
      <w:r>
        <w:rPr>
          <w:i/>
        </w:rPr>
        <w:t>and that as two halves of one animal separated were joined together into one, each given a desire to produce offspring similar to themselves through mutual union</w:t>
      </w:r>
      <w:r>
        <w:t>. “This desire,” he says, “also gave birth to the pleasure of the bodies, which is the origin of injustices and transgressions, since such pleasure changed mortal and miserable life into an immortal and blessed one.” Ὁ δὲ πόθος οὗτος καὶ τὴν τῶν σωμάτων ἡδονὴν ἐγέννησεν, ἥτις ἐστὶν ἀδικημά· των καὶ παρανομημάτων ἀρχὴ, διʼ οὖ ὑπαλλάττονται τὸν θνητὸν καὶ κακοδαίμονα βίον ἀντʼ ἀθανάτου καὶ εὐδαίμονος.</w:t>
      </w:r>
    </w:p>
    <w:p w14:paraId="4A53437C" w14:textId="77777777" w:rsidR="005C2B3E" w:rsidRDefault="00000000">
      <w:pPr>
        <w:pStyle w:val="Heading3"/>
      </w:pPr>
      <w:r>
        <w:t>CHAPTER 6</w:t>
      </w:r>
    </w:p>
    <w:p w14:paraId="7750C4E9" w14:textId="77777777" w:rsidR="005C2B3E" w:rsidRDefault="00000000">
      <w:pPr>
        <w:pStyle w:val="Heading4"/>
      </w:pPr>
      <w:r>
        <w:t>ON ORIGINAL SIN</w:t>
      </w:r>
    </w:p>
    <w:p w14:paraId="709F08D1" w14:textId="77777777" w:rsidR="005C2B3E" w:rsidRDefault="00000000">
      <w:pPr>
        <w:spacing w:before="180" w:after="0"/>
        <w:ind w:left="720" w:right="320" w:hanging="360"/>
      </w:pPr>
      <w:r>
        <w:t>Justinus</w:t>
      </w:r>
      <w:r>
        <w:fldChar w:fldCharType="begin"/>
      </w:r>
      <w:r>
        <w:instrText xml:space="preserve"> XE "Justinus" \f "Persons"</w:instrText>
      </w:r>
      <w:r>
        <w:fldChar w:fldCharType="end"/>
      </w:r>
      <w:r>
        <w:t xml:space="preserve"> derives the necessity of regeneration from the fault of the first generation. II. Many other testimonies of the same. III. Tatian</w:t>
      </w:r>
      <w:r>
        <w:fldChar w:fldCharType="begin"/>
      </w:r>
      <w:r>
        <w:instrText xml:space="preserve"> XE "Tatian" \f "Persons"</w:instrText>
      </w:r>
      <w:r>
        <w:fldChar w:fldCharType="end"/>
      </w:r>
      <w:r>
        <w:t xml:space="preserve"> follows and imitates Justinus. IV. Theophilus</w:t>
      </w:r>
      <w:r>
        <w:fldChar w:fldCharType="begin"/>
      </w:r>
      <w:r>
        <w:instrText xml:space="preserve"> XE "Theophilus" \f "Persons"</w:instrText>
      </w:r>
      <w:r>
        <w:fldChar w:fldCharType="end"/>
      </w:r>
      <w:r>
        <w:t xml:space="preserve"> speaks no less clearly in the same opinion.</w:t>
      </w:r>
    </w:p>
    <w:p w14:paraId="2022229A" w14:textId="77777777" w:rsidR="005C2B3E" w:rsidRDefault="00000000">
      <w:r>
        <w:t>I. Since it was very important to refute the error of those who supposed that men are good or evil not by free will, but by nature and necessity; Justin</w:t>
      </w:r>
      <w:r>
        <w:fldChar w:fldCharType="begin"/>
      </w:r>
      <w:r>
        <w:instrText xml:space="preserve"> XE "Justin" \f "Persons"</w:instrText>
      </w:r>
      <w:r>
        <w:fldChar w:fldCharType="end"/>
      </w:r>
      <w:r>
        <w:t xml:space="preserve"> often opposes the Catholic doctrine to this impious idea. But on the other hand, the holy martyr did not ignore, nor was silent about, what religion teaches concerning free will weakened by the ruin of Adam, and the necessity of the Omnipotent’s grace. This doctrine deserves careful study, since opinions about it vary among men: some think Justin was not at all aware of original sin, while others attribute to him absurd ideas about the grace of Christ and the salvation of the Gentiles.</w:t>
      </w:r>
    </w:p>
    <w:p w14:paraId="58963E58" w14:textId="77777777" w:rsidR="005C2B3E" w:rsidRDefault="00000000">
      <w:pPr>
        <w:ind w:firstLine="360"/>
      </w:pPr>
      <w:r>
        <w:t xml:space="preserve">The holy martyr clearly teaches that baptism removes not only those stains which we freely contract by sinning, but also that which we contract by being born. Thus he speaks in </w:t>
      </w:r>
      <w:r>
        <w:rPr>
          <w:i/>
        </w:rPr>
        <w:t>Apol.</w:t>
      </w:r>
      <w:r>
        <w:t xml:space="preserve"> 1, no. 61: Ἐπειδὴ τὴν πρώτην γένεσιν ἡμῶν ἀγνοοῦντες κατʼ ἀνάγκην γεγεννήμεθα ἐξ ὑγρᾶς σπορᾶς κατὰ μίξιν τὴν τῶν γονέων πρὸς ἀλλήλους· καὶ ἐν ἔθεσι φαύλοις καὶ πονηραῖς ἀνατροφαῖς γεγόναμεν, ὅπως μὴ ἀνάγκης τέκνα μηδὲ ἀγνοίας μένωμεν, ἀλλὰ προαιρέσεως καὶ ἐπιστήμης, ἀφέσεώς τε ἁμαρτιῶν ὑπὲρ ὧν προημάρτομεν τύχωμεν ἐν τῷ ὕδατι, ἐπονομάζεται τῷ προελομένῳ ἀναγεννηθῆναι, καὶ μετανοήσαντι ἐπὶ τοῖς ἡμαρτημένοις, τὸ τοῦ Πατρὸς τῶν ὅλων καὶ δεσπότου Θεοῦ ὄνομα.</w:t>
      </w:r>
    </w:p>
    <w:p w14:paraId="16E28BFD" w14:textId="77777777" w:rsidR="005C2B3E" w:rsidRDefault="00000000">
      <w:pPr>
        <w:ind w:firstLine="360"/>
      </w:pPr>
      <w:r>
        <w:lastRenderedPageBreak/>
        <w:t>“Since, not knowing our first generation, we were born by necessity from moist seed through the mutual mixing of parents; and we have been brought up in corrupt and wicked customs; so that we may not remain children of necessity and ignorance, but of choice and knowledge; and may obtain the remission of sins which we committed before, in the water; upon him who wishes to be born again and has repented of sins, the name of the Father of all and Lord God is pronounced.”</w:t>
      </w:r>
    </w:p>
    <w:p w14:paraId="0C213078" w14:textId="77777777" w:rsidR="005C2B3E" w:rsidRDefault="00000000">
      <w:pPr>
        <w:ind w:firstLine="360"/>
      </w:pPr>
      <w:r>
        <w:t xml:space="preserve">Therefore, we are born in sin, since because of this first birth we need baptism to regenerate us. We are born children of necessity and ignorance, and we cannot emerge from this state of misery without baptism. For this reason we are baptized, </w:t>
      </w:r>
      <w:r>
        <w:rPr>
          <w:i/>
        </w:rPr>
        <w:t>so that we may not remain children of ignorance and necessity</w:t>
      </w:r>
      <w:r>
        <w:t>.</w:t>
      </w:r>
    </w:p>
    <w:p w14:paraId="704D30FA" w14:textId="77777777" w:rsidR="005C2B3E" w:rsidRDefault="00000000">
      <w:pPr>
        <w:ind w:firstLine="360"/>
      </w:pPr>
      <w:r>
        <w:t xml:space="preserve">II. In </w:t>
      </w:r>
      <w:r>
        <w:rPr>
          <w:i/>
        </w:rPr>
        <w:t>Cohort</w:t>
      </w:r>
      <w:r>
        <w:t xml:space="preserve">, no. 21, after he said </w:t>
      </w:r>
      <w:r>
        <w:rPr>
          <w:i/>
        </w:rPr>
        <w:t>the first men</w:t>
      </w:r>
      <w:r>
        <w:t xml:space="preserve">, from whom the multitude of gods was introduced, </w:t>
      </w:r>
      <w:r>
        <w:rPr>
          <w:i/>
        </w:rPr>
        <w:t>had in memory that ancient deceit by which the enemy demon of the human race wished to deceive their ancestors, when he addressed them thus:</w:t>
      </w:r>
      <w:r>
        <w:t xml:space="preserve"> “If you obey me, you will be like gods,” he adds this: “Therefore, since men obeyed the deceitful demon and dared to break God’s command, they left paradise; and indeed they had the name of gods in memory, but they were taught no longer that there are any gods from God.… Having been cast out of paradise, and thinking themselves cast out for this one reason only, because they did not obey God, and not at all because they believed that those who are no gods are gods, they afterwards handed down the name of gods from themselves to men born after them.” How can those first men, who remembered the deceit done to their ancestors Adam and Eve, and handed down the name of gods to their descendants, be said to have obeyed the demon, broken God’s command, and been cast out of paradise, if not because they sinned in Adam? We will soon bring forth similar things from Tatian</w:t>
      </w:r>
      <w:r>
        <w:fldChar w:fldCharType="begin"/>
      </w:r>
      <w:r>
        <w:instrText xml:space="preserve"> XE "Tatian" \f "Persons"</w:instrText>
      </w:r>
      <w:r>
        <w:fldChar w:fldCharType="end"/>
      </w:r>
      <w:r>
        <w:t>.</w:t>
      </w:r>
    </w:p>
    <w:p w14:paraId="5C5CC84D" w14:textId="77777777" w:rsidR="005C2B3E" w:rsidRDefault="00000000">
      <w:pPr>
        <w:ind w:firstLine="360"/>
      </w:pPr>
      <w:r>
        <w:t xml:space="preserve">He speaks to the same effect in </w:t>
      </w:r>
      <w:r>
        <w:rPr>
          <w:i/>
        </w:rPr>
        <w:t>Dialogue with Trypho</w:t>
      </w:r>
      <w:r>
        <w:t xml:space="preserve">, no. 88: “Nor did Christ endure to be born and crucified because he needed these things, but for the human race, which had fallen into death and the serpent’s deceit through Adam, each one acting wickedly by his own fault.” Here two kinds of sin are distinguished: one common to all; for the human race fell to the serpent’s deceit and was condemned to death because of this offense. But there are other sins which each one freely commits by his own fault. The phrase ἀπὸ τοῦ Ἀδάμ could be translated </w:t>
      </w:r>
      <w:r>
        <w:rPr>
          <w:i/>
        </w:rPr>
        <w:t>through Adam</w:t>
      </w:r>
      <w:r>
        <w:t xml:space="preserve">. But I prefer to keep </w:t>
      </w:r>
      <w:r>
        <w:rPr>
          <w:i/>
        </w:rPr>
        <w:t>from Adam</w:t>
      </w:r>
      <w:r>
        <w:t>, because it better suits Justin</w:t>
      </w:r>
      <w:r>
        <w:fldChar w:fldCharType="begin"/>
      </w:r>
      <w:r>
        <w:instrText xml:space="preserve"> XE "Justin" \f "Persons"</w:instrText>
      </w:r>
      <w:r>
        <w:fldChar w:fldCharType="end"/>
      </w:r>
      <w:r>
        <w:t xml:space="preserve">’s purpose, who seems to want to show that all men, Jews not excepted, sinned in Adam. And no. 100: “The Son of God born of a Virgin, so that by the same way that disobedience began from the serpent, he might receive its undoing. For since Eve was a virgin and incorrupt, conceived by the serpent’s word, she bore disobedience and death. But Mary the virgin, having received faith and joy, answered the angel announcing the glad message: </w:t>
      </w:r>
      <w:r>
        <w:rPr>
          <w:i/>
        </w:rPr>
        <w:t>Let it be to me according to your word.</w:t>
      </w:r>
      <w:r>
        <w:t xml:space="preserve">” He says Christ was born without sin, no. 23, to </w:t>
      </w:r>
      <w:r>
        <w:lastRenderedPageBreak/>
        <w:t>distinguish him from the other sons of Adam. “For if there was no need for circumcision before Abraham, nor for Sabbath, feasts, and offerings before Moses; neither is there need for them in the same way after Jesus Christ, the Son of God, born without sin from a virgin descended from Abraham according to the will of the Father.”</w:t>
      </w:r>
    </w:p>
    <w:p w14:paraId="6E7D17F3" w14:textId="77777777" w:rsidR="005C2B3E" w:rsidRDefault="00000000">
      <w:pPr>
        <w:ind w:firstLine="360"/>
      </w:pPr>
      <w:r>
        <w:t xml:space="preserve">The holy martyr does not doubt that the whole human race has been subject to a curse because of this stain of original sin, and he proves this by an argument drawn from those who lived under the law and those who lived without the law. “The whole human race,” he says in </w:t>
      </w:r>
      <w:r>
        <w:rPr>
          <w:i/>
        </w:rPr>
        <w:t>Dialogue</w:t>
      </w:r>
      <w:r>
        <w:t xml:space="preserve">, no. 95, “will be found subject to a curse. For according to the law of Moses, </w:t>
      </w:r>
      <w:r>
        <w:rPr>
          <w:i/>
        </w:rPr>
        <w:t>cursed</w:t>
      </w:r>
      <w:r>
        <w:t xml:space="preserve"> is anyone </w:t>
      </w:r>
      <w:r>
        <w:rPr>
          <w:i/>
        </w:rPr>
        <w:t>who does not remain in all that is written in the book of the law, to do it.</w:t>
      </w:r>
      <w:r>
        <w:t>” Certainly no one has observed everything exactly, nor will you deny this; but some have kept more of the commandments than others: and if it is clear that those who are under this law are under a curse because they have not observed everything, will it not be much clearer that all the nations, who worship idols, commit sexual sins with children, and do other wicked things, are under a curse?”</w:t>
      </w:r>
    </w:p>
    <w:p w14:paraId="500CA748" w14:textId="77777777" w:rsidR="005C2B3E" w:rsidRDefault="00000000">
      <w:pPr>
        <w:ind w:firstLine="360"/>
      </w:pPr>
      <w:r>
        <w:t>III</w:t>
      </w:r>
      <w:r>
        <w:fldChar w:fldCharType="begin"/>
      </w:r>
      <w:r>
        <w:instrText xml:space="preserve"> XE "III" \f "Persons"</w:instrText>
      </w:r>
      <w:r>
        <w:fldChar w:fldCharType="end"/>
      </w:r>
      <w:r>
        <w:t>. Tatian</w:t>
      </w:r>
      <w:r>
        <w:fldChar w:fldCharType="begin"/>
      </w:r>
      <w:r>
        <w:instrText xml:space="preserve"> XE "Tatian" \f "Persons"</w:instrText>
      </w:r>
      <w:r>
        <w:fldChar w:fldCharType="end"/>
      </w:r>
      <w:r>
        <w:t xml:space="preserve"> follows the footsteps of Justin</w:t>
      </w:r>
      <w:r>
        <w:fldChar w:fldCharType="begin"/>
      </w:r>
      <w:r>
        <w:instrText xml:space="preserve"> XE "Justin" \f "Persons"</w:instrText>
      </w:r>
      <w:r>
        <w:fldChar w:fldCharType="end"/>
      </w:r>
      <w:r>
        <w:t xml:space="preserve"> and generally shares the sin of Adam with all men. “At the beginning,” he says, no. 13, “the spirit was the convictor of the soul, but it abandoned it when it refused to follow.” And no. 11: “We were not born to die, but we die because of our own fault. Free will destroyed us; we became slaves who were free; through sin we were sold. Nothing evil was done by God; we ourselves produced corruption; but those who produced it can also reject it again.” Tatian holds that the miseries which flowed from Adam’s sin also belong to all of us. Just as we were lost with him, brought into slavery, sold, and died, so also with him we produced corruption.</w:t>
      </w:r>
    </w:p>
    <w:p w14:paraId="107A657A" w14:textId="77777777" w:rsidR="005C2B3E" w:rsidRDefault="00000000">
      <w:pPr>
        <w:ind w:firstLine="360"/>
      </w:pPr>
      <w:r>
        <w:t>It is no wonder, then, that Tatian</w:t>
      </w:r>
      <w:r>
        <w:fldChar w:fldCharType="begin"/>
      </w:r>
      <w:r>
        <w:instrText xml:space="preserve"> XE "Tatian" \f "Persons"</w:instrText>
      </w:r>
      <w:r>
        <w:fldChar w:fldCharType="end"/>
      </w:r>
      <w:r>
        <w:t>, following the footsteps of his teacher Justin</w:t>
      </w:r>
      <w:r>
        <w:fldChar w:fldCharType="begin"/>
      </w:r>
      <w:r>
        <w:instrText xml:space="preserve"> XE "Justin" \f "Persons"</w:instrText>
      </w:r>
      <w:r>
        <w:fldChar w:fldCharType="end"/>
      </w:r>
      <w:r>
        <w:t xml:space="preserve">, says that the first leaders of the multitude of gods were driven out of paradise because of this crime and became mortal: “But the power of the Word,” he says, no. 7, “when it foresaw in itself what would be, not by fate, but by the free will of those choosing; it predicted the outcomes of future things and forbade wickedness by commands, and praised those who remained good. But after men followed one among them, more cunning than the others because he was the firstborn, and although he struggled against the law of God, they took him for God; then the power of the Word excluded both the originator of reckless boldness and his followers from their custom. And indeed he who was made in the image of God, with the stronger spirit departing from him, becomes mortal; but that firstborn began to be a demon because of transgression and ignorance.” Here is a strange and worthy thing to note: the confusion of things. The sin of Adam is mixed with the sin of his descendants, and again the sin of these is </w:t>
      </w:r>
      <w:r>
        <w:lastRenderedPageBreak/>
        <w:t>mixed with the sin of Adam, as if it were entirely one offense. Whence comes that, unless because the descendants sinned in Adam, and that corruption of the heart, from which men freely introduced the worship of gods by obeying it, came from Adam?</w:t>
      </w:r>
    </w:p>
    <w:p w14:paraId="4293B783" w14:textId="77777777" w:rsidR="005C2B3E" w:rsidRDefault="00000000">
      <w:pPr>
        <w:ind w:firstLine="360"/>
      </w:pPr>
      <w:r>
        <w:t>IV. Many testimonies also occur in Theophilus of Antioch</w:t>
      </w:r>
      <w:r>
        <w:fldChar w:fldCharType="begin"/>
      </w:r>
      <w:r>
        <w:instrText xml:space="preserve"> XE "Theophilus of Antioch" \f "Persons"</w:instrText>
      </w:r>
      <w:r>
        <w:fldChar w:fldCharType="end"/>
      </w:r>
      <w:r>
        <w:t>, in which the sin of Adam is described as one and common to all. “They are called wild beasts,” he says in book ii, no. 17, ἀπὸ τοῦ θηρεύεσθαι, that is, because they became wild: for nothing evil was done by God, but all things were good and very good; but the sin of man led them into vice. For when man turned away from the right path, they also turned away at the same time. Just as the master of the house, when he behaves excellently, brings the need for the servants to live rightly; but if he sins, the servants will sin as well; in the same way it happened that man, who was master, sinned and the servants sinned together. But when man returns to what is according to nature and stops sinning, the beasts will also be restored to their former gentleness.” The fall is not attributed to Adam alone, nor is the return to righteousness; it is common to all. In the same sense he says, no. 26: “Just as a vessel, if after it has been made it has some defect, is poured out and remade so that it becomes new and whole; death brings the same to man: for in a certain way he is broken so that he may be found healthy in the resurrection, that is, pure, just, and immortal.”</w:t>
      </w:r>
    </w:p>
    <w:p w14:paraId="37F3ED4A" w14:textId="77777777" w:rsidR="005C2B3E" w:rsidRDefault="00000000">
      <w:pPr>
        <w:ind w:firstLine="360"/>
      </w:pPr>
      <w:r>
        <w:t>Theophilus</w:t>
      </w:r>
      <w:r>
        <w:fldChar w:fldCharType="begin"/>
      </w:r>
      <w:r>
        <w:instrText xml:space="preserve"> XE "Theophilus" \f "Persons"</w:instrText>
      </w:r>
      <w:r>
        <w:fldChar w:fldCharType="end"/>
      </w:r>
      <w:r>
        <w:t xml:space="preserve"> was convinced that we are not condemned to death with Adam unless we sinned in Adam; for God would not have imposed this punishment on the innocent, lest he appear to be the author of death himself. “If he had made him immortal from the beginning, he would have made him a god,” he says, no. 27; “but if mortal, God would seem to be the cause of that death.”</w:t>
      </w:r>
    </w:p>
    <w:p w14:paraId="23E2FB6A" w14:textId="77777777" w:rsidR="005C2B3E" w:rsidRDefault="00000000">
      <w:pPr>
        <w:pStyle w:val="Heading3"/>
      </w:pPr>
      <w:r>
        <w:t>CHAPTER 7</w:t>
      </w:r>
    </w:p>
    <w:p w14:paraId="55D3C894" w14:textId="77777777" w:rsidR="005C2B3E" w:rsidRDefault="00000000">
      <w:pPr>
        <w:pStyle w:val="Heading4"/>
      </w:pPr>
      <w:r>
        <w:t>ON THE GRACE OF CHRIST</w:t>
      </w:r>
    </w:p>
    <w:p w14:paraId="38C2C303" w14:textId="77777777" w:rsidR="005C2B3E" w:rsidRDefault="00000000">
      <w:pPr>
        <w:spacing w:before="180" w:after="0"/>
        <w:ind w:left="720" w:right="320" w:hanging="360"/>
      </w:pPr>
      <w:r>
        <w:t>Love, which fulfills the law, is obtained through faith. II. This faith, alive with love, is a gift of grace. III. How powerful and effective this grace is. IV. The only way of salvation has always been faith alive with love, which grace grants. V. How undeservedly Justin</w:t>
      </w:r>
      <w:r>
        <w:fldChar w:fldCharType="begin"/>
      </w:r>
      <w:r>
        <w:instrText xml:space="preserve"> XE "Justin" \f "Persons"</w:instrText>
      </w:r>
      <w:r>
        <w:fldChar w:fldCharType="end"/>
      </w:r>
      <w:r>
        <w:t xml:space="preserve"> is said to have recognized the eternal salvation of Socrates and Heraclitus</w:t>
      </w:r>
      <w:r>
        <w:fldChar w:fldCharType="begin"/>
      </w:r>
      <w:r>
        <w:instrText xml:space="preserve"> XE "Heraclitus" \f "Persons"</w:instrText>
      </w:r>
      <w:r>
        <w:fldChar w:fldCharType="end"/>
      </w:r>
      <w:r>
        <w:t>. VI. Testimonies about the grace of Christ from the Epistle to Diognetus and the Oration of Tatian.</w:t>
      </w:r>
    </w:p>
    <w:p w14:paraId="22C01D7D" w14:textId="77777777" w:rsidR="005C2B3E" w:rsidRDefault="00000000">
      <w:r>
        <w:t>I. In order that fallen man may be healed, Justin</w:t>
      </w:r>
      <w:r>
        <w:fldChar w:fldCharType="begin"/>
      </w:r>
      <w:r>
        <w:instrText xml:space="preserve"> XE "Justin" \f "Persons"</w:instrText>
      </w:r>
      <w:r>
        <w:fldChar w:fldCharType="end"/>
      </w:r>
      <w:r>
        <w:t xml:space="preserve"> recognizes one only remedy, faith which works through love, and declares it to be a free gift of almighty grace.</w:t>
      </w:r>
    </w:p>
    <w:p w14:paraId="3F37FE41" w14:textId="77777777" w:rsidR="005C2B3E" w:rsidRDefault="00000000">
      <w:pPr>
        <w:ind w:firstLine="360"/>
      </w:pPr>
      <w:r>
        <w:t xml:space="preserve">The Jews, in whom the wonderful efforts of Justin's love to persuade and move them were evident, brought this particular obstacle to that learned dispute, namely that the law and the dignity of the children of Abraham were enough as safeguards for </w:t>
      </w:r>
      <w:r>
        <w:lastRenderedPageBreak/>
        <w:t xml:space="preserve">salvation. At the beginning of the conversation, Trypho urges Justin to be circumcised first, then to observe, as the law commands, the Sabbaths, feast days, and new moons of God, and to do absolutely everything written in the law. For thus perhaps mercy would be granted to him by God. Trypho wonders why Christians, though so eager to cultivate virtue, do not observe the law of Moses, n. 10. He is the author of their belief that they should stop believing Christ to be God born of a Virgin, and rather say that he was a man born of men, and that Christ was attained by careful observance of the law, n. 67. The Jews were asleep in this error, deceived and nurtured by their teachers, from whom they had also received this very foolish opinion, </w:t>
      </w:r>
      <w:r>
        <w:rPr>
          <w:i/>
        </w:rPr>
        <w:t>that to all born from the seed of Abraham according to the flesh, even if they were sinners and unbelievers and stubborn against God, the eternal kingdom would be given</w:t>
      </w:r>
      <w:r>
        <w:t>, n. 140.</w:t>
      </w:r>
    </w:p>
    <w:p w14:paraId="6221E624" w14:textId="77777777" w:rsidR="005C2B3E" w:rsidRDefault="00000000">
      <w:pPr>
        <w:ind w:firstLine="360"/>
      </w:pPr>
      <w:r>
        <w:t>Since the confidence of the Jews in the law was so great, Justin</w:t>
      </w:r>
      <w:r>
        <w:fldChar w:fldCharType="begin"/>
      </w:r>
      <w:r>
        <w:instrText xml:space="preserve"> XE "Justin" \f "Persons"</w:instrText>
      </w:r>
      <w:r>
        <w:fldChar w:fldCharType="end"/>
      </w:r>
      <w:r>
        <w:t xml:space="preserve"> did not work lazily to reduce this error, and he often did not hesitate to repeat the same things. He shows that righteousness is not placed in circumcision of the foreskin, nor in the external observance of fasts and Sabbaths, but in the circumcision of the heart, in the inner affections of the soul, which the prophets command to be joined with external works. For this purpose, he brings forth testimonies from Isaiah</w:t>
      </w:r>
      <w:r>
        <w:fldChar w:fldCharType="begin"/>
      </w:r>
      <w:r>
        <w:instrText xml:space="preserve"> XE "Isaiah" \f "Persons"</w:instrText>
      </w:r>
      <w:r>
        <w:fldChar w:fldCharType="end"/>
      </w:r>
      <w:r>
        <w:t xml:space="preserve"> and Moses, n. 14 and 15. In one word, he recognizes no righteousness that does not proceed from love. “Therefore,” he says at n. 93, “all righteousness is divided into two toward God and toward men; whoever, says Scripture, loves the Lord God with all his heart and with all his strength, and his neighbor as himself, that one will truly be just.” He admits absolutely no ignorance, not even in the most lost, by which anyone is free from sin when acting against this double commandment. Thus he speaks there: “For what is always and everywhere just and shows all righteousness in every kind of man is God; and there is no kind that does not know that adultery is evil, and fornication, and murder, and all other similar things. And indeed, even if all do these things, they do not succeed in being ignorant that when they do them, they do wrong, except for those who, full of impure spirit, or corrupted by wrong teaching and bad morals and wicked laws, have lost or rather hold back the natural notions.”</w:t>
      </w:r>
    </w:p>
    <w:p w14:paraId="4986EDCF" w14:textId="77777777" w:rsidR="005C2B3E" w:rsidRDefault="00000000">
      <w:pPr>
        <w:ind w:firstLine="360"/>
      </w:pPr>
      <w:r>
        <w:t>But he teaches that love, which alone fulfills the law, is obtained through faith. “Those of the Gentiles,” he says at n. 52, “who have become worshipers of God and righteous through the faith of Christ, we await his coming again.” He establishes that this faith, animated by love, is their own, n. 13 and 14, “who are no longer atoned for by the blood of goats and sheep, or by the ashes of a calf, or similar offerings, but by faith through the blood of Christ and his death, who died for that very reason.” The holy martyr proves this from Isaiah</w:t>
      </w:r>
      <w:r>
        <w:fldChar w:fldCharType="begin"/>
      </w:r>
      <w:r>
        <w:instrText xml:space="preserve"> XE "Isaiah" \f "Persons"</w:instrText>
      </w:r>
      <w:r>
        <w:fldChar w:fldCharType="end"/>
      </w:r>
      <w:r>
        <w:t xml:space="preserve"> chapter 53, where Christ is said to bear our sins and to be wounded for our offenses, and we are healed by his bruises. From this, he concludes how great the holiness of Christian baptism is. “Therefore, through the washing of repentance,” he says, “and the knowledge of God, which was established </w:t>
      </w:r>
      <w:r>
        <w:lastRenderedPageBreak/>
        <w:t>for the sins of the people of God, as Isaiah proclaims, we have believed; and we testify that baptism foretold by him, which alone can atone for the penitent, is this water of life.”</w:t>
      </w:r>
    </w:p>
    <w:p w14:paraId="585E0C45" w14:textId="77777777" w:rsidR="005C2B3E" w:rsidRDefault="00000000">
      <w:pPr>
        <w:ind w:firstLine="360"/>
      </w:pPr>
      <w:r>
        <w:t xml:space="preserve">II. He attributes the conversion of the heart to Christ by a twofold name, both because gratuitous grace takes hold of the will beforehand, and because it powerfully works in us to will and to accomplish. He preaches the free grace of Christ in many places. “What shall I say,” he says in </w:t>
      </w:r>
      <w:r>
        <w:rPr>
          <w:i/>
        </w:rPr>
        <w:t>Apology</w:t>
      </w:r>
      <w:r>
        <w:t xml:space="preserve"> 1, p. 62, “about the countless multitude of those who have turned from intemperance and have learned these things? For Christ did not call the just or the modest to repentance, but the impious, the shameless, and the unjust. For he said: </w:t>
      </w:r>
      <w:r>
        <w:rPr>
          <w:i/>
        </w:rPr>
        <w:t>I did not come to call the just, but sinners to repentance.</w:t>
      </w:r>
      <w:r>
        <w:t xml:space="preserve">” He declares that Christians were called in the same way as Abraham in the </w:t>
      </w:r>
      <w:r>
        <w:rPr>
          <w:i/>
        </w:rPr>
        <w:t>Dialogue</w:t>
      </w:r>
      <w:r>
        <w:t xml:space="preserve">, n. 119, where he speaks thus: “What more then does Christ grant to Abraham here? That he called him with a similar call, when he ordered him to leave the land he was living in, and through that call he called us all, and we left that institution in which we were living wrongly according to the common custom of other inhabitants of the land; and since we will be heirs of the holy land with Abraham, receiving the inheritance for endless ages, since we are children of Abraham through similar faith. For just as he believed the voice of God </w:t>
      </w:r>
      <w:r>
        <w:rPr>
          <w:i/>
        </w:rPr>
        <w:t>and it was counted to him for righteousness</w:t>
      </w:r>
      <w:r>
        <w:t>, so we also, after we believed the voice of God, proclaimed again through the apostles of Christ and announced through the prophets, renounced all things in the world even unto death.” Often elsewhere he describes that most terrible life of the Gentiles, full of all vices, which Christians had led before they were called by Christ. Hence, being conscious that he himself did not deserve to come to faith, he did not hesitate to pray for the Jews, whom he saw not only did not deserve to be called by Christ, but also turned all their efforts of rage against the destruction of Christians: “But we,” he says to the Jews, n. 108, “neither hate you nor those who have received such an opinion of us from you; but we pray that even now, at least, doing penance, you may obtain mercy from the most humane and wonderfully merciful Father of all, God.” Justin</w:t>
      </w:r>
      <w:r>
        <w:fldChar w:fldCharType="begin"/>
      </w:r>
      <w:r>
        <w:instrText xml:space="preserve"> XE "Justin" \f "Persons"</w:instrText>
      </w:r>
      <w:r>
        <w:fldChar w:fldCharType="end"/>
      </w:r>
      <w:r>
        <w:t xml:space="preserve"> admires the judgment of God in this distinction between Jews and Christians. “Nor did we believe in him in vain,” he says at n. 118, “nor were we deceived by those who taught thus; but it also happened by the admirable providence of God that to you, who are considered lovers of God and prudent, yet are not, we were found to be more prudent and more religious through the calling of the new and eternal covenant, that is, of Christ.”</w:t>
      </w:r>
    </w:p>
    <w:p w14:paraId="2B098663" w14:textId="77777777" w:rsidR="005C2B3E" w:rsidRDefault="00000000">
      <w:pPr>
        <w:ind w:firstLine="360"/>
      </w:pPr>
      <w:r>
        <w:t>Justin</w:t>
      </w:r>
      <w:r>
        <w:fldChar w:fldCharType="begin"/>
      </w:r>
      <w:r>
        <w:instrText xml:space="preserve"> XE "Justin" \f "Persons"</w:instrText>
      </w:r>
      <w:r>
        <w:fldChar w:fldCharType="end"/>
      </w:r>
      <w:r>
        <w:t xml:space="preserve"> had received this teaching from a noble old man, from whose speech his knowledge of Christ began. Thus, as he was departing from Justin, he concludes in the </w:t>
      </w:r>
      <w:r>
        <w:rPr>
          <w:i/>
        </w:rPr>
        <w:t>Dialogue</w:t>
      </w:r>
      <w:r>
        <w:t xml:space="preserve">, n. 7: “But you, above all, pray for the gates of light to be opened to you, for no one can understand and see these things except the one to whom God has given understanding and Christ.” It is clear from this that this must be taken not as some singular and lofty knowledge of mysteries, but as faith, because it was not fitting for </w:t>
      </w:r>
      <w:r>
        <w:lastRenderedPageBreak/>
        <w:t xml:space="preserve">Justin, who had not yet turned to Christ, to have that lofty and extraordinary knowledge of mysteries, but rather faith and the assent of faith in the elements which the old man had begun to hand down to him. This is confirmed in other places. “Therefore,” he says in the </w:t>
      </w:r>
      <w:r>
        <w:rPr>
          <w:i/>
        </w:rPr>
        <w:t>Dialogue</w:t>
      </w:r>
      <w:r>
        <w:t xml:space="preserve">, n. 100, “Christ revealed to us all things which we have understood from the Scriptures by his grace, recognizing him to be the firstborn of God and before all created things, and the son of the patriarchs, who, born of a Virgin from them, became flesh, an unformed man and without glory, and endured suffering.” And at n. 119: “Do you think it could ever have been possible for us to understand these things in the Scriptures unless by the will of the one who willed them; that we would have received the grace to understand?” Hence also at n. 121: “It has been given to us to hear and understand him, and to be saved through this Christ, and to know all the things of the Father.” Justin did not doubt that to those whom God predestined to be conformed to the image of his Son, he had prepared the most certain help for salvation. In the </w:t>
      </w:r>
      <w:r>
        <w:rPr>
          <w:i/>
        </w:rPr>
        <w:t>Dialogue</w:t>
      </w:r>
      <w:r>
        <w:t xml:space="preserve"> which he had with the Jews, he softened the trouble he perceived from their stubbornness with the hope that “some one of them might be found from that seed which remains for eternal salvation,” n. 32. And at n. 64: “But now, because I fear the judgment of God, I do not prejudge any one of your race, whether he is not of those who can be saved according to the grace of the Lord of Hosts. Therefore, although you do not act rightly, I will nevertheless answer whatever is proposed or said against me by you.” He teaches that what is granted by free mercy to some is not granted to others by just judgment, n. 55: “I was not, I say, going to bring these proofs, Trypho, by which I know those who worship these and similar things are condemned, but those which no one can speak against. Yet they will seem new to you, although they are read daily by you, so that from this we may understand that, because of your wickedness, the power of wisdom to understand, which is in his words, was hidden from you, except for some, to whom, according to the grace of his highest mercy, as Isaiah says, he has left seed for salvation, so that your race might not perish as did those of Sodom and Gomorrah.”</w:t>
      </w:r>
    </w:p>
    <w:p w14:paraId="27755D35" w14:textId="77777777" w:rsidR="005C2B3E" w:rsidRDefault="00000000">
      <w:pPr>
        <w:ind w:firstLine="360"/>
      </w:pPr>
      <w:r>
        <w:t>III. How powerful and effective the grace of Christ is, which frees us from slavery into liberty, can be judged from some testimonies just cited, such as those I have reported from the venerable old man to Justin</w:t>
      </w:r>
      <w:r>
        <w:fldChar w:fldCharType="begin"/>
      </w:r>
      <w:r>
        <w:instrText xml:space="preserve"> XE "Justin" \f "Persons"</w:instrText>
      </w:r>
      <w:r>
        <w:fldChar w:fldCharType="end"/>
      </w:r>
      <w:r>
        <w:t xml:space="preserve">. He repeats that faith in the incarnate God, which completely renews us, comes from the almighty will of him who willed his Son to be incarnate. “Do you think it could ever have been possible for us to understand these things in the Scriptures if we had not received the grace of understanding by the will of the one who willed them?” He teaches that the power of Christ shines wonderfully in the conversion of the Gentiles. “This,” he says in </w:t>
      </w:r>
      <w:r>
        <w:rPr>
          <w:i/>
        </w:rPr>
        <w:t>Apology</w:t>
      </w:r>
      <w:r>
        <w:t xml:space="preserve"> ii, n. 10, “our Christ accomplished by his own power.” Soon describing the steadfastness of the Christians, he says: “For this power of the Father made it indescribable, not by the instruments of human speech.” He judges that the power of </w:t>
      </w:r>
      <w:r>
        <w:lastRenderedPageBreak/>
        <w:t xml:space="preserve">Christ did not only appear then, when he breathed into the apostles an unshakable constancy to preach the Gospel, and opened the hearts of those who heard the apostles, but also when he attracted the magi to the manger where the infant lay. Thus he speaks in the </w:t>
      </w:r>
      <w:r>
        <w:rPr>
          <w:i/>
        </w:rPr>
        <w:t>Dialogue</w:t>
      </w:r>
      <w:r>
        <w:t>, n. 78: “For what Isaiah</w:t>
      </w:r>
      <w:r>
        <w:fldChar w:fldCharType="begin"/>
      </w:r>
      <w:r>
        <w:instrText xml:space="preserve"> XE "Isaiah" \f "Persons"</w:instrText>
      </w:r>
      <w:r>
        <w:fldChar w:fldCharType="end"/>
      </w:r>
      <w:r>
        <w:t xml:space="preserve"> says: </w:t>
      </w:r>
      <w:r>
        <w:rPr>
          <w:i/>
        </w:rPr>
        <w:t>He will take the power of Damascus and the spoils of Samaria</w:t>
      </w:r>
      <w:r>
        <w:t xml:space="preserve">, signified that the wicked demon who dwelt in Damascus would immediately be overcome by the power of Christ as soon as he was born, which indeed is shown to have happened. For the magi, who had been taken as spoils to evil deeds to which that demon drove them, when they came to worship Christ, clearly fell away from the power that had taken them as spoils, which the secret Scripture indicates dwells in Damascus.” And at n. 88: “And let this also be a testimony to you, which I told you about the magi from Arabia, who came immediately when he was born as a child and worshiped him. For as soon as he was born into the light, he had his power.” Therefore, that we are freed from demons and overcome demons, when we rise from vice to virtue, must be attributed to the power of Christ; certainly no less than when demons are driven out of bodies. Justin also declares this. “For we call him helper,” he says in the same </w:t>
      </w:r>
      <w:r>
        <w:rPr>
          <w:i/>
        </w:rPr>
        <w:t>Dialogue</w:t>
      </w:r>
      <w:r>
        <w:t>, n. 30, “and Redeemer, whose very name the demons themselves dread, and today, under Pontius Pilate, governor of Judea, they are forced to submit when adjured by the name of Jesus Christ crucified.”</w:t>
      </w:r>
    </w:p>
    <w:p w14:paraId="5C857A8A" w14:textId="77777777" w:rsidR="005C2B3E" w:rsidRDefault="00000000">
      <w:pPr>
        <w:ind w:firstLine="360"/>
      </w:pPr>
      <w:r>
        <w:t xml:space="preserve">The healing granted in the desert to those wounded by serpent bites was a symbol and figure of the salvation we receive from Christ. “And that figure also, that sign,” he says in the </w:t>
      </w:r>
      <w:r>
        <w:rPr>
          <w:i/>
        </w:rPr>
        <w:t>Dialogue</w:t>
      </w:r>
      <w:r>
        <w:t>, n. 91, “which was established against the bites of serpents for Israel, clearly was set up for the salvation of those who even then believed that the death of the serpent would be foretold through him who was to be crucified, and for the salvation of those who, wounded by the serpent’s bites, take refuge in him from whom that Son was sent into the world to be crucified.”</w:t>
      </w:r>
    </w:p>
    <w:p w14:paraId="07BAFA7F" w14:textId="77777777" w:rsidR="005C2B3E" w:rsidRDefault="00000000">
      <w:pPr>
        <w:ind w:firstLine="360"/>
      </w:pPr>
      <w:r>
        <w:t xml:space="preserve">The power of the cross, which he thinks is represented in Scripture by the horns of the unicorn, is preached thus by the holy martyr in the same place: “But that, </w:t>
      </w:r>
      <w:r>
        <w:rPr>
          <w:i/>
        </w:rPr>
        <w:t>From its horns it shall strike the peoples, even to the ends of the earth,</w:t>
      </w:r>
      <w:r>
        <w:t xml:space="preserve"> which we see today fulfilled in all peoples, shows this. For the horn sought, that is, those pierced from all peoples, have turned from empty idols and demons to God.” The love that Christ pours into our hearts is often depicted by Justin</w:t>
      </w:r>
      <w:r>
        <w:fldChar w:fldCharType="begin"/>
      </w:r>
      <w:r>
        <w:instrText xml:space="preserve"> XE "Justin" \f "Persons"</w:instrText>
      </w:r>
      <w:r>
        <w:fldChar w:fldCharType="end"/>
      </w:r>
      <w:r>
        <w:t xml:space="preserve"> under the image of circumcision: and he thinks that the circumcision which Joshua performed with stone knives was a figure of that circumcision which we receive from Christ. “Therefore, a wonderful thing is done in us,” he says in the </w:t>
      </w:r>
      <w:r>
        <w:rPr>
          <w:i/>
        </w:rPr>
        <w:t>Dialogue</w:t>
      </w:r>
      <w:r>
        <w:t xml:space="preserve">, n. 114, “who have been circumcised with stone knives by a second circumcision. For your first was done and is done by iron: for you remain with a hard heart. But our circumcision, which was established second after yours in number, circumcises us by sharp stones, that is, by the words of the apostles, cut off from the highest corner stone without hands, from the worship of idols and from all wickedness altogether. Whose hearts are so circumcised by wickedness that we gladly </w:t>
      </w:r>
      <w:r>
        <w:lastRenderedPageBreak/>
        <w:t>face death for the name of that glorious Rock, which also in the hearts of those who love the Father of all through him sends forth living water and gives drink to those who thirst for the water of life.”</w:t>
      </w:r>
    </w:p>
    <w:p w14:paraId="2B287F01" w14:textId="77777777" w:rsidR="005C2B3E" w:rsidRDefault="00000000">
      <w:pPr>
        <w:ind w:firstLine="360"/>
      </w:pPr>
      <w:r>
        <w:t>The holy martyr, relying on the authority of Scripture, declares that the wonderful circumcision of the heart which we receive from Christ is a kind of new birth and creation. “We,” he says, n. 135, “are true Israelite offspring cut from the womb of Christ.” And at n. 138: “Christ, being the firstborn of all creation, was also made the beginning of another kind, born again by water and faith and the wood on which the mystery of the cross is contained.”</w:t>
      </w:r>
    </w:p>
    <w:p w14:paraId="4B9D0AED" w14:textId="77777777" w:rsidR="005C2B3E" w:rsidRDefault="00000000">
      <w:pPr>
        <w:ind w:firstLine="360"/>
      </w:pPr>
      <w:r>
        <w:t>The power of Christ shines no less in the gift of perseverance. “The Holy Spirit,” he says, n. 54, “has called those who have received forgiveness of sins through him, whose strength is always present, but will be clearly present at the second coming.” Christ’s grace makes victors out of temptations, by which the devil does not cease to attack us. “But to give you an account,” he says, n. 116, “of the revelation of Jesus Christ the holy one, I repeat the saying, and say that this revelation has also been made in us, who believe in Christ the high priest, this one crucified; who, when we were involved in sexual sins and every kind of filth, by the grace granted to us from our Jesus, according to the will of the Father himself, we put off all the filth with which we were clothed badly: against which the devil always stands opposing and wanting to draw all to himself; but the angel of God, that is, the power of God sent to us through Jesus Christ, rebukes him and he departs from us. And as if drawn out of fire, we were freed from former sins, from tribulation, and from the fire sent to us by the devil and all his servants; from which Jesus, the Son of God, also promised to draw us out again, and to clothe us with prepared garments, if we keep his commands, and to provide the eternal kingdom.”</w:t>
      </w:r>
    </w:p>
    <w:p w14:paraId="62B8FD76" w14:textId="77777777" w:rsidR="005C2B3E" w:rsidRDefault="00000000">
      <w:pPr>
        <w:ind w:firstLine="360"/>
      </w:pPr>
      <w:r>
        <w:t>From this new birth, which we have received from Christ, or from that love which he pours into our hearts, Justin</w:t>
      </w:r>
      <w:r>
        <w:fldChar w:fldCharType="begin"/>
      </w:r>
      <w:r>
        <w:instrText xml:space="preserve"> XE "Justin" \f "Persons"</w:instrText>
      </w:r>
      <w:r>
        <w:fldChar w:fldCharType="end"/>
      </w:r>
      <w:r>
        <w:t xml:space="preserve"> draws excellent arguments for the defense of the Christian religion. “If, then, God has foretold that a new covenant would be established,” he says in the </w:t>
      </w:r>
      <w:r>
        <w:rPr>
          <w:i/>
        </w:rPr>
        <w:t>Dialogue</w:t>
      </w:r>
      <w:r>
        <w:t xml:space="preserve">, n. 11, “and that it would be brought to the light of the nations, and we see and firmly believe through the name of Jesus Christ crucified that men turn away from idols and other wickedness to approach God, and do not depart from confession and piety even when death is threatened; since from the works and the following miracles it is possible to understand that this is the new law and new covenant, and the hope of those who expect good things from God from all nations.” Often elsewhere he argues that Christ is that new law promised in the old, because Christ himself dwells in us through his Spirit, and writes this law in our hearts. And in this lies the greatest difference between Christians and Jews. He admits, “What things are excellent and pious and just, these are prescribed to be done in the law of Moses </w:t>
      </w:r>
      <w:r>
        <w:lastRenderedPageBreak/>
        <w:t>for those who obey the law,” n. 45, but proves that the law which came after the death of Moses, as mentioned in Psalm 19, is proper to Christians and written in their hearts, thus at n. 30: “But these judgments of the Lord, which have given us wisdom, seem sweeter than honey and honeycomb, it is clear from this that we are not brought to deny his name even when death is threatened.” And he rebukes the Jews thus, n. 93: “But you have never shown love or charity toward God, nor toward the prophets, nor toward yourselves, but always, as is clear, you have been worshipers of idols and killers of the righteous.” From this he often notes that circumcision, Sabbaths, festivals, and sacrifices were imposed on the Jews as a yoke because of their sins, and that their wickedness was restrained, n. 18, 19, 23, 91 and following. But the Holy Spirit is given to Christians through baptism; the new covenant was established not as before, but without fear and trembling and lightning, n. 67. “These two are to be understood as the seed of the Jews and two kinds, just as there are two houses of Jacob, one from blood and flesh, the other from spirit,” n. 135. He considers it so important to distinguish law from grace that he doubts placing the knowledge of all mysteries in any other distinction, n. 44; he teaches that it is proper to the Christian religion to demonstrate this distinction, n. 67.</w:t>
      </w:r>
    </w:p>
    <w:p w14:paraId="6DE09020" w14:textId="77777777" w:rsidR="005C2B3E" w:rsidRDefault="00000000">
      <w:pPr>
        <w:ind w:firstLine="360"/>
      </w:pPr>
      <w:r>
        <w:t>IV. That faith, enlivened by love, which is the gift of free and powerful grace, has always been necessary for salvation, that is, under the law of Moses and before that law, Justin</w:t>
      </w:r>
      <w:r>
        <w:fldChar w:fldCharType="begin"/>
      </w:r>
      <w:r>
        <w:instrText xml:space="preserve"> XE "Justin" \f "Persons"</w:instrText>
      </w:r>
      <w:r>
        <w:fldChar w:fldCharType="end"/>
      </w:r>
      <w:r>
        <w:t xml:space="preserve"> clearly teaches in many places. “For even Abraham himself,” he says, n. 23, “when he was in the foreskin, was justified and blessed through faith, by which he believed God.” See n. 92. He recognizes absolutely no elect who have not imitated this faith of Abraham. In this way he refutes the foolish opinion by which proud Jews thought they would be saved because of their origin from Abraham. “No one,” he says, n. 44, “can receive anything from that seed, except those who have been made like in spirit to the faith of Abraham, and have understood all the mysteries, that is, certain other precepts for the worship of God and the observance of justice, and other precepts and works either from the mystery of Christ or, because of the hardness of your people's heart, have been similarly written.” He requires this distinction of precepts for salvation, because if anyone thinks that righteousness is placed only in circumcision and the Sabbath and festivals, and lives in total forgetfulness of the eternal law, he will not be able to be saved. It is clear from what he immediately adds that Justin speaks also of those times which passed before the Lord’s Incarnation: “And so God declares through Ezekiel</w:t>
      </w:r>
      <w:r>
        <w:fldChar w:fldCharType="begin"/>
      </w:r>
      <w:r>
        <w:instrText xml:space="preserve"> XE "Ezekiel" \f "Persons"</w:instrText>
      </w:r>
      <w:r>
        <w:fldChar w:fldCharType="end"/>
      </w:r>
      <w:r>
        <w:t xml:space="preserve"> in these words: If Noah, Job, and Daniel were to pray for sons or daughters, it will not be given to them.” Justin himself shortly after declares that he said these things about those who were under the law. For when Trypho</w:t>
      </w:r>
      <w:r>
        <w:fldChar w:fldCharType="begin"/>
      </w:r>
      <w:r>
        <w:instrText xml:space="preserve"> XE "Trypho" \f "Persons"</w:instrText>
      </w:r>
      <w:r>
        <w:fldChar w:fldCharType="end"/>
      </w:r>
      <w:r>
        <w:t xml:space="preserve"> asks whether those who kept the law of Moses will be saved with the righteous who lived before Moses, Justin answers thus: “Since I have brought forward what was said by Ezekiel, </w:t>
      </w:r>
      <w:r>
        <w:rPr>
          <w:i/>
        </w:rPr>
        <w:t>Even if Noah, Daniel, and Job were to pray for their sons and daughters,</w:t>
      </w:r>
      <w:r>
        <w:t xml:space="preserve"> it will not be </w:t>
      </w:r>
      <w:r>
        <w:lastRenderedPageBreak/>
        <w:t>granted to them, but each one will be saved by his own righteousness; I also said that those who lived according to the law of Moses will likewise be saved.”</w:t>
      </w:r>
    </w:p>
    <w:p w14:paraId="5B0609EB" w14:textId="77777777" w:rsidR="005C2B3E" w:rsidRDefault="00000000">
      <w:pPr>
        <w:ind w:firstLine="360"/>
      </w:pPr>
      <w:r>
        <w:t>To the things Justin</w:t>
      </w:r>
      <w:r>
        <w:fldChar w:fldCharType="begin"/>
      </w:r>
      <w:r>
        <w:instrText xml:space="preserve"> XE "Justin" \f "Persons"</w:instrText>
      </w:r>
      <w:r>
        <w:fldChar w:fldCharType="end"/>
      </w:r>
      <w:r>
        <w:t xml:space="preserve"> argues here, he later recalls Trypho, who, at n. 64, as if he had forgotten or cared little about what had been discussed so far, said that Christians were allowed to worship Jesus Christ, but that for Jews who worship God himself there was no need to confess or adore Christ. Then Justin, gently correcting this stubbornness of Trypho, says: “If, then, you had turned your mind to the things I brought from the Scriptures, you would have understood that even those who are saved from your race are saved through him, and are in his part; certainly you would not have questioned me about this matter.” He therefore recalls to memory what he said at n. 44 about the righteous who died before the Incarnation.</w:t>
      </w:r>
    </w:p>
    <w:p w14:paraId="11B76499" w14:textId="77777777" w:rsidR="005C2B3E" w:rsidRDefault="00000000">
      <w:pPr>
        <w:ind w:firstLine="360"/>
      </w:pPr>
      <w:r>
        <w:t>Justin would certainly have betrayed his cause and supplied weapons to his opponents if he had allowed that anyone attained eternal salvation without faith in Christ; but he always insists that there has been one and the same way of salvation. “And we indeed,” he says, n. 43, “who have approached God through Christ, have not received that circumcision of the flesh, but a spiritual one, which Enoch and those like him kept.” And at n. 113: “Therefore, we understand the words of Christ as stone knives, through which so many men, who were in error from the foreskin, were circumcised by the circumcision of the heart, by which God already then urged those who had circumcision from Abraham as their beginning to be circumcised; for he says that those who entered into that holy land received circumcision by stone knives from Jesus.”</w:t>
      </w:r>
    </w:p>
    <w:p w14:paraId="439B0E75" w14:textId="77777777" w:rsidR="005C2B3E" w:rsidRDefault="00000000">
      <w:pPr>
        <w:ind w:firstLine="360"/>
      </w:pPr>
      <w:r>
        <w:t>It was so certain to Justin</w:t>
      </w:r>
      <w:r>
        <w:fldChar w:fldCharType="begin"/>
      </w:r>
      <w:r>
        <w:instrText xml:space="preserve"> XE "Justin" \f "Persons"</w:instrText>
      </w:r>
      <w:r>
        <w:fldChar w:fldCharType="end"/>
      </w:r>
      <w:r>
        <w:t xml:space="preserve"> that faith has always been necessary for salvation for everyone that he does not hesitate to declare that God would be falsely accused if the law, which was fixed for certain places and times, were said to justify. “But if we do not want to admit this,” he says at n. 23, “it will happen that we fall into absurd thoughts, as if God were not the same in the times of Enoch and others, who neither had circumcision of the flesh nor observed Sabbaths and other such things, since these were established by Moses; or as if he did not want the same righteousness to be observed by all generations of men at all times.” From this he also shows at n. 92 that the Jewish institutions would seem worthy of contempt to many, unless the Jews answer the same as the Christians when someone among them asks, </w:t>
      </w:r>
      <w:r>
        <w:rPr>
          <w:i/>
        </w:rPr>
        <w:t>why, when Enoch and Noah and their sons, and others like them, pleased God without circumcision and Sabbaths, after so many ages God wanted those who were from Abraham to Moses to be justified through circumcision, but those after Moses through circumcision and other precepts, that is, Sabbath, sacrifices, libations, and offerings.</w:t>
      </w:r>
      <w:r>
        <w:t xml:space="preserve"> Would Justin have refuted the Jews, who placed justification in the observance of the law, with such an argument if he himself </w:t>
      </w:r>
      <w:r>
        <w:lastRenderedPageBreak/>
        <w:t>had not believed that faith, to which he attributed justification, applies to all ages and conditions?</w:t>
      </w:r>
    </w:p>
    <w:p w14:paraId="2E868648" w14:textId="77777777" w:rsidR="005C2B3E" w:rsidRDefault="00000000">
      <w:pPr>
        <w:ind w:firstLine="360"/>
      </w:pPr>
      <w:r>
        <w:t>Therefore, what the holy martyr says at number 28 must be referred to all ages and conditions: “Indeed, even if someone is a Scythian or a Persian, but has knowledge of God and of Christ and always observes righteousness, he is circumcised with a noble and useful circumcision, and is a friend of God, and God delights in his gifts and offerings.”</w:t>
      </w:r>
    </w:p>
    <w:p w14:paraId="79DA4195" w14:textId="77777777" w:rsidR="005C2B3E" w:rsidRDefault="00000000">
      <w:pPr>
        <w:ind w:firstLine="360"/>
      </w:pPr>
      <w:r>
        <w:t>V. After Justin</w:t>
      </w:r>
      <w:r>
        <w:fldChar w:fldCharType="begin"/>
      </w:r>
      <w:r>
        <w:instrText xml:space="preserve"> XE "Justin" \f "Persons"</w:instrText>
      </w:r>
      <w:r>
        <w:fldChar w:fldCharType="end"/>
      </w:r>
      <w:r>
        <w:t xml:space="preserve"> showed himself such a careful and passionate defender of the mystery of redemption, who would have believed that, because he granted this to Socrates</w:t>
      </w:r>
      <w:r>
        <w:fldChar w:fldCharType="begin"/>
      </w:r>
      <w:r>
        <w:instrText xml:space="preserve"> XE "Socrates" \f "Persons"</w:instrText>
      </w:r>
      <w:r>
        <w:fldChar w:fldCharType="end"/>
      </w:r>
      <w:r>
        <w:t xml:space="preserve"> and Heraclitus</w:t>
      </w:r>
      <w:r>
        <w:fldChar w:fldCharType="begin"/>
      </w:r>
      <w:r>
        <w:instrText xml:space="preserve"> XE "Heraclitus" \f "Persons"</w:instrText>
      </w:r>
      <w:r>
        <w:fldChar w:fldCharType="end"/>
      </w:r>
      <w:r>
        <w:t xml:space="preserve"> and others like them, he could either be praised or blamed for eternal salvation? Yet this opinion is attributed to him, not only by the author of </w:t>
      </w:r>
      <w:r>
        <w:rPr>
          <w:i/>
        </w:rPr>
        <w:t>The Knot of Predestination Untied</w:t>
      </w:r>
      <w:r>
        <w:t>, praised in Select Epistles 24 of Simon</w:t>
      </w:r>
      <w:r>
        <w:fldChar w:fldCharType="begin"/>
      </w:r>
      <w:r>
        <w:instrText xml:space="preserve"> XE "Simon" \f "Persons"</w:instrText>
      </w:r>
      <w:r>
        <w:fldChar w:fldCharType="end"/>
      </w:r>
      <w:r>
        <w:t xml:space="preserve">, volume III, and by Jacobus Payva in </w:t>
      </w:r>
      <w:r>
        <w:rPr>
          <w:i/>
        </w:rPr>
        <w:t>Orthodox Explanations</w:t>
      </w:r>
      <w:r>
        <w:t xml:space="preserve">, but also, which is more surprising, by the very learned abbot of Senones in </w:t>
      </w:r>
      <w:r>
        <w:rPr>
          <w:i/>
        </w:rPr>
        <w:t>Dissertations on the Epistles of Paul</w:t>
      </w:r>
      <w:r>
        <w:t>, page 67: “Justin the martyr,” he says, “decided that the ancient philosophers, who lived according to reason, even if they did not know Jesus Christ, were already Christians because they followed his precepts and teaching; such were Socrates and Heraclitus and some others among the Greeks.”</w:t>
      </w:r>
    </w:p>
    <w:p w14:paraId="4512F1A2" w14:textId="77777777" w:rsidR="005C2B3E" w:rsidRDefault="00000000">
      <w:pPr>
        <w:ind w:firstLine="360"/>
      </w:pPr>
      <w:r>
        <w:t>The passage thrown against Justin</w:t>
      </w:r>
      <w:r>
        <w:fldChar w:fldCharType="begin"/>
      </w:r>
      <w:r>
        <w:instrText xml:space="preserve"> XE "Justin" \f "Persons"</w:instrText>
      </w:r>
      <w:r>
        <w:fldChar w:fldCharType="end"/>
      </w:r>
      <w:r>
        <w:t xml:space="preserve"> as a charge is found in </w:t>
      </w:r>
      <w:r>
        <w:rPr>
          <w:i/>
        </w:rPr>
        <w:t>Apology</w:t>
      </w:r>
      <w:r>
        <w:t xml:space="preserve"> 1, number 46:</w:t>
      </w:r>
    </w:p>
    <w:p w14:paraId="02CC9B1D" w14:textId="77777777" w:rsidR="005C2B3E" w:rsidRDefault="00000000">
      <w:pPr>
        <w:ind w:firstLine="360"/>
      </w:pPr>
      <w:r>
        <w:t>Τὸν Χριστὸν πρωτότοκον τοῦ Θεοῦ εἷναι ἐδιδάχθημεν, καὶ προεμηνύσαμεν λόγον ὅντα, οὗ πᾶν γένος ἀνθρώπων μετέσχε· καὶ οἱ μετὰ λόγου βιώσαντες Χριστιανοί εἰσι, κἂν ἄθεοι ἐνομίσθησαν· οἷοι ἐν Ἕλλησι μὲν Σωκράτης καὶ Ἡράκλειτος καὶ οἱ ὅμοιοι αὐτοῖς· ἐν βαρβάροις δὲ Ἀβραὰμ, καὶ Ἀνανίας καὶ Ἀζαρίας καὶ Μισαὴλ, καὶ Ἠλίας, καὶ ἄλλοι πολλοὶ, ὧν τὰς πράξεις, ἢ τὰ ὀνόματα καταλέγειν μακρὸν εἷναι ἐπιστάμενοι, τανῦν παραιτούμεθα, etc.</w:t>
      </w:r>
    </w:p>
    <w:p w14:paraId="7E67510B" w14:textId="77777777" w:rsidR="005C2B3E" w:rsidRDefault="00000000">
      <w:pPr>
        <w:ind w:firstLine="360"/>
      </w:pPr>
      <w:r>
        <w:t>“We have been taught that Christ is the firstborn of God, and we have foretold the reason, of which every human race has shared; and those who lived according to reason are Christians, even if they were thought to be atheists, such as Socrates and Heraclitus and those like them among the Greeks; but among the barbarians, Abraham, Ananias, Azarias, Misael, and Elias, whose deeds or names, since we know it would be long to recount, we now omit, etc. Likewise, those who once lived without reason were wicked and enemies of Christ, and those who lived with reason were murderers. But those who lived and live with reason are Christians and fearless and bold.”</w:t>
      </w:r>
    </w:p>
    <w:p w14:paraId="5C9D04F7" w14:textId="77777777" w:rsidR="005C2B3E" w:rsidRDefault="00000000">
      <w:pPr>
        <w:ind w:firstLine="360"/>
      </w:pPr>
      <w:r>
        <w:t xml:space="preserve">The first thing we must note is that the holy martyr does not here explain how those who lived among the Gentiles before Christ attained salvation, but how they are rightly condemned. For he himself poses this question: *But let no one who wanders from reason twist what we have taught, saying that Christ was called born by us under </w:t>
      </w:r>
      <w:r>
        <w:lastRenderedPageBreak/>
        <w:t>Cyrenius</w:t>
      </w:r>
      <w:r>
        <w:fldChar w:fldCharType="begin"/>
      </w:r>
      <w:r>
        <w:instrText xml:space="preserve"> XE "Cyrenius" \f "Persons"</w:instrText>
      </w:r>
      <w:r>
        <w:fldChar w:fldCharType="end"/>
      </w:r>
      <w:r>
        <w:t xml:space="preserve"> one hundred and fifty years earlier, and that after that time he taught what we say he taught under Pontius Pilate; and from this they argue that all men who lived before that time are innocent; we will take up the solution to this doubt.*</w:t>
      </w:r>
    </w:p>
    <w:p w14:paraId="0ED44CC7" w14:textId="77777777" w:rsidR="005C2B3E" w:rsidRDefault="00000000">
      <w:pPr>
        <w:ind w:firstLine="360"/>
      </w:pPr>
      <w:r>
        <w:t>Therefore, whatever virtue seems to be attributed to Socrates</w:t>
      </w:r>
      <w:r>
        <w:fldChar w:fldCharType="begin"/>
      </w:r>
      <w:r>
        <w:instrText xml:space="preserve"> XE "Socrates" \f "Persons"</w:instrText>
      </w:r>
      <w:r>
        <w:fldChar w:fldCharType="end"/>
      </w:r>
      <w:r>
        <w:t xml:space="preserve"> and Heraclitus</w:t>
      </w:r>
      <w:r>
        <w:fldChar w:fldCharType="begin"/>
      </w:r>
      <w:r>
        <w:instrText xml:space="preserve"> XE "Heraclitus" \f "Persons"</w:instrText>
      </w:r>
      <w:r>
        <w:fldChar w:fldCharType="end"/>
      </w:r>
      <w:r>
        <w:t xml:space="preserve"> and their like, it aims to show that no violation of natural law has excuse; since Christ, before the Incarnation, as the Word, offered his light to all men. The same teaching is found in </w:t>
      </w:r>
      <w:r>
        <w:rPr>
          <w:i/>
        </w:rPr>
        <w:t>Dialogue</w:t>
      </w:r>
      <w:r>
        <w:t xml:space="preserve"> number 93, namely that nothing at all can be excused from those who violate the law of God, even if they are most wicked and corrupt.</w:t>
      </w:r>
    </w:p>
    <w:p w14:paraId="019227FE" w14:textId="77777777" w:rsidR="005C2B3E" w:rsidRDefault="00000000">
      <w:pPr>
        <w:ind w:firstLine="360"/>
      </w:pPr>
      <w:r>
        <w:t>Second, if Justin</w:t>
      </w:r>
      <w:r>
        <w:fldChar w:fldCharType="begin"/>
      </w:r>
      <w:r>
        <w:instrText xml:space="preserve"> XE "Justin" \f "Persons"</w:instrText>
      </w:r>
      <w:r>
        <w:fldChar w:fldCharType="end"/>
      </w:r>
      <w:r>
        <w:t xml:space="preserve"> is said to have granted eternal salvation to the philosophers who lived before Christ, the same gentleness and indulgence must be attributed to him toward those who lived after Christ and were equal to Justin himself. For about both he says: *Those who lived and live according to reason are Christians and fearless and bold.*</w:t>
      </w:r>
    </w:p>
    <w:p w14:paraId="5F14E981" w14:textId="77777777" w:rsidR="005C2B3E" w:rsidRDefault="00000000">
      <w:pPr>
        <w:ind w:firstLine="360"/>
      </w:pPr>
      <w:r>
        <w:t>He says those who lived a life in accordance with reason, like Socrates</w:t>
      </w:r>
      <w:r>
        <w:fldChar w:fldCharType="begin"/>
      </w:r>
      <w:r>
        <w:instrText xml:space="preserve"> XE "Socrates" \f "Persons"</w:instrText>
      </w:r>
      <w:r>
        <w:fldChar w:fldCharType="end"/>
      </w:r>
      <w:r>
        <w:t xml:space="preserve"> and Heraclitus</w:t>
      </w:r>
      <w:r>
        <w:fldChar w:fldCharType="begin"/>
      </w:r>
      <w:r>
        <w:instrText xml:space="preserve"> XE "Heraclitus" \f "Persons"</w:instrText>
      </w:r>
      <w:r>
        <w:fldChar w:fldCharType="end"/>
      </w:r>
      <w:r>
        <w:t xml:space="preserve">, are Christians; not because they were freed from sins by faith in the blood of Christ, but because whatever of knowledge and virtue shone forth in them is Christian, since it is given together with Christians and by the Word illuminating every man. “Whatever,” he says in </w:t>
      </w:r>
      <w:r>
        <w:rPr>
          <w:i/>
        </w:rPr>
        <w:t>Apology</w:t>
      </w:r>
      <w:r>
        <w:t xml:space="preserve"> 2, number 10, “philosophers or lawgivers have ever said or invented excellently, these, having discovered and considered the Word in some part, have worked out.” And in number 13: “Whatever has been excellently said by all others, these are ours, the Christians’.” Thus Tertullian</w:t>
      </w:r>
      <w:r>
        <w:fldChar w:fldCharType="begin"/>
      </w:r>
      <w:r>
        <w:instrText xml:space="preserve"> XE "Tertullian" \f "Persons"</w:instrText>
      </w:r>
      <w:r>
        <w:fldChar w:fldCharType="end"/>
      </w:r>
      <w:r>
        <w:t xml:space="preserve"> says that all men are naturally Christians because, led by nature, they are accustomed to say some things that are Christian. God is great and God is good, and what God has given is the voice of all. He also calls God a judge: “God sees, and I commit to God, and God will repay me. O testimony of a soul naturally Christian!” Why then is it strange if Justin</w:t>
      </w:r>
      <w:r>
        <w:fldChar w:fldCharType="begin"/>
      </w:r>
      <w:r>
        <w:instrText xml:space="preserve"> XE "Justin" \f "Persons"</w:instrText>
      </w:r>
      <w:r>
        <w:fldChar w:fldCharType="end"/>
      </w:r>
      <w:r>
        <w:t xml:space="preserve"> calls those Christians who taught that there is one God? Of all these, Socrates, he says in </w:t>
      </w:r>
      <w:r>
        <w:rPr>
          <w:i/>
        </w:rPr>
        <w:t>Apology</w:t>
      </w:r>
      <w:r>
        <w:t xml:space="preserve"> 2, number 10, was most firmly called guilty in this matter. For they said new demons were introduced by him, and those whom the city considers gods are not considered so by him. But Justin did not hide what was lacking in such men who did not believe in the incarnate Word, both in what concerns the knowledge of truth and in what concerns life and morals. For after he taught that every human kind shares in the Word, he immediately recalls what he had said before about the cause of the Incarnation; namely, to show the difference between those who received some part of truth from the Word and those who believed in the same incarnate Word. Hence in </w:t>
      </w:r>
      <w:r>
        <w:rPr>
          <w:i/>
        </w:rPr>
        <w:t>Apology</w:t>
      </w:r>
      <w:r>
        <w:t xml:space="preserve"> 2, numbers 8 and 10, he declares Christians are </w:t>
      </w:r>
      <w:r>
        <w:rPr>
          <w:i/>
        </w:rPr>
        <w:t>not to establish a life according to some part of scattered reason, but according to the whole, that is, the knowledge and contemplation of Christ.</w:t>
      </w:r>
      <w:r>
        <w:t xml:space="preserve"> He admits that philosophers knew a part of the truth, but obscurely, so that they taught things conflicting with themselves, number 13; but he </w:t>
      </w:r>
      <w:r>
        <w:lastRenderedPageBreak/>
        <w:t>teaches that only those who believe in Christ can be healed. “For,” he says, “we worship the Word born of the unbegotten and ineffable God according to God; since he was made man for us, so that, sharing in our sufferings, he might make a cure for them.”</w:t>
      </w:r>
    </w:p>
    <w:p w14:paraId="404ED67A" w14:textId="77777777" w:rsidR="005C2B3E" w:rsidRDefault="00000000">
      <w:pPr>
        <w:ind w:firstLine="360"/>
      </w:pPr>
      <w:r>
        <w:t>In Justin</w:t>
      </w:r>
      <w:r>
        <w:fldChar w:fldCharType="begin"/>
      </w:r>
      <w:r>
        <w:instrText xml:space="preserve"> XE "Justin" \f "Persons"</w:instrText>
      </w:r>
      <w:r>
        <w:fldChar w:fldCharType="end"/>
      </w:r>
      <w:r>
        <w:t xml:space="preserve">’s words there is sharp reasoning, which those who have criticized him should have noticed: he holds that persecutions against Christians are stirred up by the evil demons’ plotting; and so that this may not seem unbelievable, he takes as proof those things that happened to men distinguished by the praise of virtue. He does not examine whether their virtue was true or not; it is enough for him to show that </w:t>
      </w:r>
      <w:r>
        <w:rPr>
          <w:i/>
        </w:rPr>
        <w:t>those who have been hated were those who strove in any way to live according to reason and avoid vice, Apology</w:t>
      </w:r>
      <w:r>
        <w:t xml:space="preserve"> 2, number 8. Certainly no one said that the true virtues praised by Justin were found in athletes; but since the judgments of men about them were honorable, he adds this for his own purposes so that the same praise would not be denied to Christians, whose courage in facing death was so great. “But those who recognize true goods,” he says in </w:t>
      </w:r>
      <w:r>
        <w:rPr>
          <w:i/>
        </w:rPr>
        <w:t>Apology</w:t>
      </w:r>
      <w:r>
        <w:t xml:space="preserve"> 2, number 11, “and not false ones, are incorrupt through the benefit of virtue.” This applies both to Christians and to athletes, and to those who acted in such ways, as poets wrote about gods according to the celebrated opinion of men; no one should think this foolish, led by the argument that we despise death, which seems to be avoided. Just as he speaks about athletes, so he also speaks about philosophers: from the known virtue of both he takes what is useful for the defense of religion, to show that those who judge them honorably do so not without great injustice when they criticize Christians.</w:t>
      </w:r>
    </w:p>
    <w:p w14:paraId="2B86D8BE" w14:textId="77777777" w:rsidR="005C2B3E" w:rsidRDefault="00000000">
      <w:pPr>
        <w:ind w:firstLine="360"/>
      </w:pPr>
      <w:r>
        <w:t>VI. The author of the excellent letter to Diognetus</w:t>
      </w:r>
      <w:r>
        <w:fldChar w:fldCharType="begin"/>
      </w:r>
      <w:r>
        <w:instrText xml:space="preserve"> XE "Diognetus" \f "Persons"</w:instrText>
      </w:r>
      <w:r>
        <w:fldChar w:fldCharType="end"/>
      </w:r>
      <w:r>
        <w:t xml:space="preserve"> notes that men were left for a long time in the highest state of misery, so that at last they might confess that, having been redeemed by the Son of God, they received grace undeservedly. “Therefore, as long as,” he says in number 8, “the wise man kept his plan in mystery, he seemed to regard us as neglected and to take no care of us.… Therefore he knew all things within himself together with the Son, by his own providential knowledge. But until the time above, he allowed us to be driven by uncertain impulses at will, while we were swept away by pleasures and desires: not that he in any way rejoiced in our sins, but he tolerated them; nor approving the time in which injustice was practiced, but creating a mind of justice, so that when we were convicted at that time by our own works of being unworthy of life, then the kindness of God might deem us worthy of these things.”</w:t>
      </w:r>
    </w:p>
    <w:p w14:paraId="6F35C35E" w14:textId="77777777" w:rsidR="005C2B3E" w:rsidRDefault="00000000">
      <w:pPr>
        <w:ind w:firstLine="360"/>
      </w:pPr>
      <w:r>
        <w:t xml:space="preserve">He proves that God became man from the most worthy sign of his coming, the conversion of hearts and the stable and firm justice that Christians receive from him. He notes that it was not some servant or angel sent by God, but the very maker and Creator of all. “Do you not see,” he says in number 7, “that more suffer punishments, yet the number of others is much greater? These things do not seem to be done by </w:t>
      </w:r>
      <w:r>
        <w:lastRenderedPageBreak/>
        <w:t>men: these are signs of his coming. For who among all men knew what God was before he himself came?” He attributes whatever charity is in us to the will of God. But after, he says in number 10, you have known him, how great do you think the joy that will fill you will be? Or how much will you love him who first loved you so? And when you begin to love, you will be an imitator of his kindness. And do not be surprised that a man can be an imitator of God. He can, if God wills it.</w:t>
      </w:r>
    </w:p>
    <w:p w14:paraId="7C94DEE3" w14:textId="77777777" w:rsidR="005C2B3E" w:rsidRDefault="00000000">
      <w:pPr>
        <w:ind w:firstLine="360"/>
      </w:pPr>
      <w:r>
        <w:t>Tatian</w:t>
      </w:r>
      <w:r>
        <w:fldChar w:fldCharType="begin"/>
      </w:r>
      <w:r>
        <w:instrText xml:space="preserve"> XE "Tatian" \f "Persons"</w:instrText>
      </w:r>
      <w:r>
        <w:fldChar w:fldCharType="end"/>
      </w:r>
      <w:r>
        <w:t>, who had not yet accepted the teaching received from St</w:t>
      </w:r>
      <w:r>
        <w:fldChar w:fldCharType="begin"/>
      </w:r>
      <w:r>
        <w:instrText xml:space="preserve"> XE "St" \f "Persons"</w:instrText>
      </w:r>
      <w:r>
        <w:fldChar w:fldCharType="end"/>
      </w:r>
      <w:r>
        <w:t xml:space="preserve">. Justin, when he wrote against the Gentiles, discusses some things about the help of the Holy Spirit, which we receive from God incarnate, that do not seem to be omitted here. “The soul by itself,” he says in number 13, “is nothing else but darkness, nor is there anything luminous in it. And this is what is said: </w:t>
      </w:r>
      <w:r>
        <w:rPr>
          <w:i/>
        </w:rPr>
        <w:t>The darkness did not comprehend the light.</w:t>
      </w:r>
      <w:r>
        <w:t xml:space="preserve"> For the soul did not keep the spirit, but was kept by it, and the light seized the darkness. The Word is divine light; the darkness is the ignorant soul. Therefore, if it lives alone, it sinks down to matter, dying together with the flesh. But joined with the divine Spirit, it does not lack help; rather, it ascends where it is led by the Spirit. For the seat of the latter is in the heavens; the generation of the former is in lower places. And at first the spirit was the convictor of the soul, but it deserted her when she was unwilling to follow.” And, in number 15: “And indeed, if such a nature has itself like a temple, God gladly dwells there through the Spirit as a delegate. But if it is not such a tabernacle, it is better for a man to be a beast with only an articulated voice; the rest is of the same kind as that of the living reason, as one who is not the likeness of God.” And, in number 20: “For the wings of the soul were the Holy Spirit, which, when cast out by sin, flew away like a chick and fell to the ground; but having fallen from the heavenly dwelling, it sought the commerce of the lower things.… However, whoever is naked can obtain this ornament and return to the old kinship.”</w:t>
      </w:r>
    </w:p>
    <w:p w14:paraId="7637A079" w14:textId="77777777" w:rsidR="005C2B3E" w:rsidRDefault="00000000">
      <w:pPr>
        <w:pStyle w:val="Heading3"/>
      </w:pPr>
      <w:r>
        <w:t>CHAPTER 8</w:t>
      </w:r>
    </w:p>
    <w:p w14:paraId="4F144575" w14:textId="77777777" w:rsidR="005C2B3E" w:rsidRDefault="00000000">
      <w:pPr>
        <w:pStyle w:val="Heading4"/>
      </w:pPr>
      <w:r>
        <w:t>THE METHOD OF ST. JUSTIN’S APPROACH TO CHRISTIANS STILL OBSERVING THE LAW IS EXPLAINED</w:t>
      </w:r>
    </w:p>
    <w:p w14:paraId="57B96AF3" w14:textId="77777777" w:rsidR="005C2B3E" w:rsidRDefault="00000000">
      <w:pPr>
        <w:spacing w:before="180" w:after="0"/>
        <w:ind w:left="720" w:right="320" w:hanging="360"/>
      </w:pPr>
      <w:r>
        <w:t>Justin</w:t>
      </w:r>
      <w:r>
        <w:fldChar w:fldCharType="begin"/>
      </w:r>
      <w:r>
        <w:instrText xml:space="preserve"> XE "Justin" \f "Persons"</w:instrText>
      </w:r>
      <w:r>
        <w:fldChar w:fldCharType="end"/>
      </w:r>
      <w:r>
        <w:t xml:space="preserve"> shares with these men, but he uses caution. II. This gentleness was also demanded by the times themselves. III. Justin was not the only one to feel this way.</w:t>
      </w:r>
    </w:p>
    <w:p w14:paraId="7F48D71F" w14:textId="77777777" w:rsidR="005C2B3E" w:rsidRDefault="00000000">
      <w:r>
        <w:t>I. Those who want to claim that Justin</w:t>
      </w:r>
      <w:r>
        <w:fldChar w:fldCharType="begin"/>
      </w:r>
      <w:r>
        <w:instrText xml:space="preserve"> XE "Justin" \f "Persons"</w:instrText>
      </w:r>
      <w:r>
        <w:fldChar w:fldCharType="end"/>
      </w:r>
      <w:r>
        <w:t xml:space="preserve"> favored and supported peace and communion with the Ebionites, who denied the divinity of Christ, have been sufficiently answered in the notes on no. 48 of the </w:t>
      </w:r>
      <w:r>
        <w:rPr>
          <w:i/>
        </w:rPr>
        <w:t>Dialogues</w:t>
      </w:r>
      <w:r>
        <w:t xml:space="preserve">, or rather they are sufficiently refuted by the very passage they abused, with a more accurate interpretation than in earlier editions. As for those who, converted from circumcision to Christ, joined some Jewish practices with a careful faith in Christ the Lord; it is clear that they were not rejected by the holy </w:t>
      </w:r>
      <w:r>
        <w:lastRenderedPageBreak/>
        <w:t>martyr. Nevertheless, the allowance granted to weak men will not be blamed if we consider, along with Tillemont, the conditions under which Justin limited it, and the judgments about such men that had been made in the Church either shortly before Justin or even at that time.</w:t>
      </w:r>
    </w:p>
    <w:p w14:paraId="2871C137" w14:textId="77777777" w:rsidR="005C2B3E" w:rsidRDefault="00000000">
      <w:pPr>
        <w:ind w:firstLine="360"/>
      </w:pPr>
      <w:r>
        <w:t>Trypho</w:t>
      </w:r>
      <w:r>
        <w:fldChar w:fldCharType="begin"/>
      </w:r>
      <w:r>
        <w:instrText xml:space="preserve"> XE "Trypho" \f "Persons"</w:instrText>
      </w:r>
      <w:r>
        <w:fldChar w:fldCharType="end"/>
      </w:r>
      <w:r>
        <w:t xml:space="preserve"> questions Justin</w:t>
      </w:r>
      <w:r>
        <w:fldChar w:fldCharType="begin"/>
      </w:r>
      <w:r>
        <w:instrText xml:space="preserve"> XE "Justin" \f "Persons"</w:instrText>
      </w:r>
      <w:r>
        <w:fldChar w:fldCharType="end"/>
      </w:r>
      <w:r>
        <w:t xml:space="preserve"> in this way, no. 46: “But if some still want to live as Moses’ laws require, and believe in this Jesus Christ crucified, acknowledging him to be the Christ of God, and that he has been given all judgment, and that his kingdom is eternal; can those also be saved?” This question seemed not easy for the holy martyr to solve: he thought it necessary to examine whether this observance of the law comes from a certain weakness of mind, or from a foolish opinion that the law is necessary for salvation. Therefore, he briefly repeats what he had discussed earlier with many: the precepts of the Mosaic law were established because of the hardness of the hearts of the Jews, so that, warned by these various things, they would always keep God before their eyes; but not even so were they turned away from the worship of idols. On the contrary, Christians endure extreme punishments rather than sacrifice to those to whom they once sacrificed, and they are convinced that </w:t>
      </w:r>
      <w:r>
        <w:rPr>
          <w:i/>
        </w:rPr>
        <w:t>what was established because of the hardness of the hearts of the Jews contributes nothing to the observance of justice and piety</w:t>
      </w:r>
      <w:r>
        <w:t>.</w:t>
      </w:r>
    </w:p>
    <w:p w14:paraId="2F0E25AF" w14:textId="77777777" w:rsidR="005C2B3E" w:rsidRDefault="00000000">
      <w:pPr>
        <w:ind w:firstLine="360"/>
      </w:pPr>
      <w:r>
        <w:t>Then Trypho said: “If someone, knowing these things to be so, besides acknowledging this Christ and indeed believing in and obeying him, also wants to keep these laws; will that person be saved?”</w:t>
      </w:r>
    </w:p>
    <w:p w14:paraId="4CC88816" w14:textId="77777777" w:rsidR="005C2B3E" w:rsidRDefault="00000000">
      <w:pPr>
        <w:ind w:firstLine="360"/>
      </w:pPr>
      <w:r>
        <w:t>Thus Justin responds: “As it seems to me, O Trypho, I say that such a person will be saved; provided only that he does not try to persuade other people, that is, those who from the Gentiles have been circumcised through Christ, to observe the same things. This is like what you said at the beginning of the discussion, when you declared that I would not be saved unless I observed these things.”</w:t>
      </w:r>
    </w:p>
    <w:p w14:paraId="441981D8" w14:textId="77777777" w:rsidR="005C2B3E" w:rsidRDefault="00000000">
      <w:pPr>
        <w:ind w:firstLine="360"/>
      </w:pPr>
      <w:r>
        <w:t>Again Trypho</w:t>
      </w:r>
      <w:r>
        <w:fldChar w:fldCharType="begin"/>
      </w:r>
      <w:r>
        <w:instrText xml:space="preserve"> XE "Trypho" \f "Persons"</w:instrText>
      </w:r>
      <w:r>
        <w:fldChar w:fldCharType="end"/>
      </w:r>
      <w:r>
        <w:t xml:space="preserve"> asks: “Then why did you say, </w:t>
      </w:r>
      <w:r>
        <w:rPr>
          <w:i/>
        </w:rPr>
        <w:t>As it seems to me, he will be saved,</w:t>
      </w:r>
      <w:r>
        <w:t xml:space="preserve"> unless there are some who say that such people will not be saved?” Justin</w:t>
      </w:r>
      <w:r>
        <w:fldChar w:fldCharType="begin"/>
      </w:r>
      <w:r>
        <w:instrText xml:space="preserve"> XE "Justin" \f "Persons"</w:instrText>
      </w:r>
      <w:r>
        <w:fldChar w:fldCharType="end"/>
      </w:r>
      <w:r>
        <w:t xml:space="preserve"> answers: “There are, I say, O Trypho, and some who do not dare to join in conversation or hospitality with them; with these I do not agree. But if, because of weakness of mind, they want to join whatever now can be joined from those things which we know were established by Moses because of the hardness of the people’s heart, with hope in this Christ and the observance of eternal and natural commands of justice and piety; provided they do not refuse to live with Christians and the faithful, nor, as I said before, persuade them to be circumcised or to keep Sabbaths and other such things, I think they should be welcomed and held in fellowship with them as brothers who are alike in spirit.” However, if some Jews have led Christians to add the law to faith, he does not completely despair of the salvation of those who have been deceived. “But those </w:t>
      </w:r>
      <w:r>
        <w:lastRenderedPageBreak/>
        <w:t xml:space="preserve">who have been led by them to join the observance of the law with confession in Christ God, I suspect that they may perhaps also obtain salvation.” It is clear from Justin that those whom he thinks should be loved as brothers and bound by every sign of charity and fellowship are nevertheless subject to two conditions. The first is that they do not consider the law necessary for salvation. He grants them pardon if they observe the law </w:t>
      </w:r>
      <w:r>
        <w:rPr>
          <w:i/>
        </w:rPr>
        <w:t>because of weakness of mind</w:t>
      </w:r>
      <w:r>
        <w:t xml:space="preserve">; but not if they place their hope in the Mosaic institutions rather than in the blood of Christ. Trypho himself accepted this condition; for when Justin said that </w:t>
      </w:r>
      <w:r>
        <w:rPr>
          <w:i/>
        </w:rPr>
        <w:t>what was established because of the hardness of the heart contributes nothing to the observance of justice and piety,</w:t>
      </w:r>
      <w:r>
        <w:t xml:space="preserve"> Trypho responded: </w:t>
      </w:r>
      <w:r>
        <w:rPr>
          <w:i/>
        </w:rPr>
        <w:t>What if someone, knowing these things to be so,</w:t>
      </w:r>
      <w:r>
        <w:t xml:space="preserve"> etc. The second condition is that Jews converted to Christ live on equal terms with uncircumcised Christians and do not encourage anyone to observe the law. Therefore, Justin was not led to this opinion lightly, but after reasoning was given and taken away, and not without foresight of the troubles that could follow from it.</w:t>
      </w:r>
    </w:p>
    <w:p w14:paraId="21970ABF" w14:textId="77777777" w:rsidR="005C2B3E" w:rsidRDefault="00000000">
      <w:pPr>
        <w:ind w:firstLine="360"/>
      </w:pPr>
      <w:r>
        <w:t>II. But what most protects Justin</w:t>
      </w:r>
      <w:r>
        <w:fldChar w:fldCharType="begin"/>
      </w:r>
      <w:r>
        <w:instrText xml:space="preserve"> XE "Justin" \f "Persons"</w:instrText>
      </w:r>
      <w:r>
        <w:fldChar w:fldCharType="end"/>
      </w:r>
      <w:r>
        <w:t>, even when he was discussing these things, is that scarcely twenty years had passed, as Tillemont notes, since the Mosaic law had ceased to be observed in the Church of Jerusalem. This is a certain and well-established fact from the testimonies of Eusebius</w:t>
      </w:r>
      <w:r>
        <w:fldChar w:fldCharType="begin"/>
      </w:r>
      <w:r>
        <w:instrText xml:space="preserve"> XE "Eusebius" \f "Persons"</w:instrText>
      </w:r>
      <w:r>
        <w:fldChar w:fldCharType="end"/>
      </w:r>
      <w:r>
        <w:t xml:space="preserve"> and Sulpicius</w:t>
      </w:r>
      <w:r>
        <w:fldChar w:fldCharType="begin"/>
      </w:r>
      <w:r>
        <w:instrText xml:space="preserve"> XE "Sulpicius" \f "Persons"</w:instrText>
      </w:r>
      <w:r>
        <w:fldChar w:fldCharType="end"/>
      </w:r>
      <w:r>
        <w:t xml:space="preserve"> Severus</w:t>
      </w:r>
      <w:r>
        <w:fldChar w:fldCharType="begin"/>
      </w:r>
      <w:r>
        <w:instrText xml:space="preserve"> XE "Severus" \f "Persons"</w:instrText>
      </w:r>
      <w:r>
        <w:fldChar w:fldCharType="end"/>
      </w:r>
      <w:r>
        <w:t xml:space="preserve">. Eusebius says in </w:t>
      </w:r>
      <w:r>
        <w:rPr>
          <w:i/>
        </w:rPr>
        <w:t>Hist.</w:t>
      </w:r>
      <w:r>
        <w:t>, book iv, chapter 5: “From the monuments of the ancient writers I have learned only this, that up to that siege of the Jews, which happened under the rule of Hadrian, fifteen bishops had presided over that Church in continuous succession, all of whom are said to have been Hebrews by origin and to have sincerely and wholeheartedly accepted the faith in Christ. So much so that those who could judge such matters considered them most worthy of the episcopal office. For at that time the whole Church of Jerusalem was gathered from faithful Hebrews, who had remained there from the time of the apostles up to that siege, when the Jews, having revolted again against the Romans, were subdued and defeated in great battles.” Sulpicius Severus, speaking of this final siege, adds this: “Which indeed benefited the Christian faith; because then almost all believed in Christ God under the observance of the law. Certainly this was arranged by the Lord’s ordering, so that the slavery of the law would be removed from the freedom of faith and the Church. Thus for the first time Marcus, from the Gentiles, was bishop in Jerusalem.”</w:t>
      </w:r>
    </w:p>
    <w:p w14:paraId="3A83FB9B" w14:textId="77777777" w:rsidR="005C2B3E" w:rsidRDefault="00000000">
      <w:pPr>
        <w:ind w:firstLine="360"/>
      </w:pPr>
      <w:r>
        <w:t>III</w:t>
      </w:r>
      <w:r>
        <w:fldChar w:fldCharType="begin"/>
      </w:r>
      <w:r>
        <w:instrText xml:space="preserve"> XE "III" \f "Persons"</w:instrText>
      </w:r>
      <w:r>
        <w:fldChar w:fldCharType="end"/>
      </w:r>
      <w:r>
        <w:t>. Justin</w:t>
      </w:r>
      <w:r>
        <w:fldChar w:fldCharType="begin"/>
      </w:r>
      <w:r>
        <w:instrText xml:space="preserve"> XE "Justin" \f "Persons"</w:instrText>
      </w:r>
      <w:r>
        <w:fldChar w:fldCharType="end"/>
      </w:r>
      <w:r>
        <w:t xml:space="preserve"> was not alone in his leniency; he indicates that only a few opposed him. “There are, I say, O Trypho, some who do not dare to join in conversation or hospitality with such people; with these I do not agree.” Justin’s leniency is confirmed by Origen</w:t>
      </w:r>
      <w:r>
        <w:fldChar w:fldCharType="begin"/>
      </w:r>
      <w:r>
        <w:instrText xml:space="preserve"> XE "Origen" \f "Persons"</w:instrText>
      </w:r>
      <w:r>
        <w:fldChar w:fldCharType="end"/>
      </w:r>
      <w:r>
        <w:t xml:space="preserve"> in book vii of his </w:t>
      </w:r>
      <w:r>
        <w:rPr>
          <w:i/>
        </w:rPr>
        <w:t>Letter to the Romans</w:t>
      </w:r>
      <w:r>
        <w:t xml:space="preserve">, where he says: “Even if Christ had not been incarnate, nevertheless by nature he would have authority over all. He does not want rational spirits to be forced into obedience to his law, but waits for them to come willingly, and to seek good by choice, not necessity, and by teaching rather than </w:t>
      </w:r>
      <w:r>
        <w:lastRenderedPageBreak/>
        <w:t xml:space="preserve">restraining, by inviting rather than forcing, he persuades. Although a Jew, for example, or one of those called Severians or Tatianists, might want to believe in Christ, yet he thinks that some importance lies in observing continence, or avoiding foods forbidden by the law, or those which some consider opposed to chastity and even think should be avoided by the authority of Scripture; if you force such a person to eat common foods and do not tell him that he cannot be saved or come to faith in Christ and grace unless he takes these foods which he rejects, then truly the good of spiritual judgment is blasphemed.” The same Origen at the beginning of book ii of </w:t>
      </w:r>
      <w:r>
        <w:rPr>
          <w:i/>
        </w:rPr>
        <w:t>Against Celsus</w:t>
      </w:r>
      <w:r>
        <w:t xml:space="preserve"> distinguishes three kinds of Jews who profess Christian faith. Some had abandoned the old rites, thinking they should be understood spiritually; others interpreted them spiritually but did not cease to observe them; and finally some observed them with a literal understanding. Those who combined the spiritual explanation with the observance of the rites seem to be none other than those who admitted that the law was not necessary for salvation, and that hope should be placed only in Christ, whose divinity they believed along with all other doctrines of the Church.</w:t>
      </w:r>
    </w:p>
    <w:p w14:paraId="74584851" w14:textId="77777777" w:rsidR="005C2B3E" w:rsidRDefault="00000000">
      <w:pPr>
        <w:ind w:firstLine="360"/>
      </w:pPr>
      <w:r>
        <w:t xml:space="preserve">The author who attributed the books of </w:t>
      </w:r>
      <w:r>
        <w:rPr>
          <w:i/>
        </w:rPr>
        <w:t>Recognitions</w:t>
      </w:r>
      <w:r>
        <w:t xml:space="preserve"> and the </w:t>
      </w:r>
      <w:r>
        <w:rPr>
          <w:i/>
        </w:rPr>
        <w:t>Clement</w:t>
      </w:r>
      <w:r>
        <w:fldChar w:fldCharType="begin"/>
      </w:r>
      <w:r>
        <w:instrText xml:space="preserve"> XE "Clement" \f "Persons"</w:instrText>
      </w:r>
      <w:r>
        <w:fldChar w:fldCharType="end"/>
      </w:r>
      <w:r>
        <w:rPr>
          <w:i/>
        </w:rPr>
        <w:t>ine Homilies</w:t>
      </w:r>
      <w:r>
        <w:t xml:space="preserve"> to St</w:t>
      </w:r>
      <w:r>
        <w:fldChar w:fldCharType="begin"/>
      </w:r>
      <w:r>
        <w:instrText xml:space="preserve"> XE "St" \f "Persons"</w:instrText>
      </w:r>
      <w:r>
        <w:fldChar w:fldCharType="end"/>
      </w:r>
      <w:r>
        <w:t>. Clement, a writer equal or nearly equal in age to Justin</w:t>
      </w:r>
      <w:r>
        <w:fldChar w:fldCharType="begin"/>
      </w:r>
      <w:r>
        <w:instrText xml:space="preserve"> XE "Justin" \f "Persons"</w:instrText>
      </w:r>
      <w:r>
        <w:fldChar w:fldCharType="end"/>
      </w:r>
      <w:r>
        <w:t xml:space="preserve">, seems from this to have been among the Nazarenes, or Christians who observed the law. For although he preaches the divinity of Christ in many places, calling him the Son of God and the Son of Man, the Son existing from the beginning, the Son and creator of heaven and earth (homil. 18), he still appears more attached to the Mosaic law. Hence Peter is introduced in six hundred places performing Jewish purifications, either using them himself or commanding others, and not eating with Gentiles not yet initiated by baptism. After Peter’s letter to James, James is introduced as very strict, so that the books of </w:t>
      </w:r>
      <w:r>
        <w:rPr>
          <w:i/>
        </w:rPr>
        <w:t>Peter’s Preaching</w:t>
      </w:r>
      <w:r>
        <w:t xml:space="preserve"> say that they should be entrusted to no one except a faithful circumcised person. That this Pseudo-Clement lived at a time when the observance of the law was not yet condemned by all as a kind of heresy can be argued from what is sometimes clearly said about the Church and the bishops. He compares the Church to a ship in the letter of Clement to James, p. 538, whose captain he calls the bishop, and the sailors the presbyters. He recommends the obedience owed to bishops in many places, such as </w:t>
      </w:r>
      <w:r>
        <w:rPr>
          <w:i/>
        </w:rPr>
        <w:t>Recognitions</w:t>
      </w:r>
      <w:r>
        <w:t>, book iii, chapter 66, homil. 3, pp. 597 and 598.</w:t>
      </w:r>
    </w:p>
    <w:p w14:paraId="79DB318D" w14:textId="77777777" w:rsidR="005C2B3E" w:rsidRDefault="00000000">
      <w:pPr>
        <w:ind w:firstLine="360"/>
      </w:pPr>
      <w:r>
        <w:t>Truly to be praised is the moderation of those minds who stopped mixing the Gospel with Mosaic ceremonies when they noticed that these could not be observed without offending others. But there were not lacking those who would not allow themselves to be separated from the customs in which they had been born. Their stubbornness had not yet been overcome by the fourth century, as we learn from Jerome</w:t>
      </w:r>
      <w:r>
        <w:fldChar w:fldCharType="begin"/>
      </w:r>
      <w:r>
        <w:instrText xml:space="preserve"> XE "Jerome" \f "Persons"</w:instrText>
      </w:r>
      <w:r>
        <w:fldChar w:fldCharType="end"/>
      </w:r>
      <w:r>
        <w:t xml:space="preserve">. “Even today,” he says in letter 80, “through all the synagogues of the East among the Jews there is a heresy called that of the Minæans, and it has been condemned by the Pharisees up to now, whom people commonly call Nazarenes, who </w:t>
      </w:r>
      <w:r>
        <w:lastRenderedPageBreak/>
        <w:t>believe in the Son of God born of the Virgin Mary, and say that he is the one who suffered under Pontius Pilate and rose again, in whom we also believe. But since they want to be both Jews and Christians, they are neither Jews nor Christians.” Jerome rightly marked such stubbornness as heresy, especially since such people had separated from the Catholic Church. But since Justin</w:t>
      </w:r>
      <w:r>
        <w:fldChar w:fldCharType="begin"/>
      </w:r>
      <w:r>
        <w:instrText xml:space="preserve"> XE "Justin" \f "Persons"</w:instrText>
      </w:r>
      <w:r>
        <w:fldChar w:fldCharType="end"/>
      </w:r>
      <w:r>
        <w:t xml:space="preserve"> wrote this </w:t>
      </w:r>
      <w:r>
        <w:rPr>
          <w:i/>
        </w:rPr>
        <w:t>Dialogue</w:t>
      </w:r>
      <w:r>
        <w:t>, that is, about twenty years after the law was observed in Jerusalem without anyone opposing it, was it not fairer to attract them with leniency than to reject heretics so quickly?</w:t>
      </w:r>
    </w:p>
    <w:p w14:paraId="6908DE3D" w14:textId="77777777" w:rsidR="005C2B3E" w:rsidRDefault="00000000">
      <w:pPr>
        <w:pStyle w:val="Heading3"/>
      </w:pPr>
      <w:r>
        <w:t>CHAPTER 9</w:t>
      </w:r>
    </w:p>
    <w:p w14:paraId="1442B948" w14:textId="77777777" w:rsidR="005C2B3E" w:rsidRDefault="00000000">
      <w:pPr>
        <w:pStyle w:val="Heading4"/>
      </w:pPr>
      <w:r>
        <w:t>ON THE MOST HOLY SACRAMENT OF THE EUCHARIST</w:t>
      </w:r>
    </w:p>
    <w:p w14:paraId="5ECAC0F1" w14:textId="77777777" w:rsidR="005C2B3E" w:rsidRDefault="00000000">
      <w:pPr>
        <w:spacing w:before="180" w:after="0"/>
        <w:ind w:left="720" w:right="320" w:hanging="360"/>
      </w:pPr>
      <w:r>
        <w:t>Justin</w:t>
      </w:r>
      <w:r>
        <w:fldChar w:fldCharType="begin"/>
      </w:r>
      <w:r>
        <w:instrText xml:space="preserve"> XE "Justin" \f "Persons"</w:instrText>
      </w:r>
      <w:r>
        <w:fldChar w:fldCharType="end"/>
      </w:r>
      <w:r>
        <w:t xml:space="preserve"> clearly and plainly explains the Christian teaching on the Eucharist. II. There is no suspicion of figurative language in his words. III. He asserts as certainly that the bread and wine become flesh and blood as that Christ had flesh and blood. IV. The omnipotence of Christ is equally wonderful in both mysteries. V. It is explained what the Eucharist means according to Irenaeus</w:t>
      </w:r>
      <w:r>
        <w:fldChar w:fldCharType="begin"/>
      </w:r>
      <w:r>
        <w:instrText xml:space="preserve"> XE "Irenaeus" \f "Persons"</w:instrText>
      </w:r>
      <w:r>
        <w:fldChar w:fldCharType="end"/>
      </w:r>
      <w:r>
        <w:t>, consisting of two things, earthly and heavenly. VI. In what sense Tertullian</w:t>
      </w:r>
      <w:r>
        <w:fldChar w:fldCharType="begin"/>
      </w:r>
      <w:r>
        <w:instrText xml:space="preserve"> XE "Tertullian" \f "Persons"</w:instrText>
      </w:r>
      <w:r>
        <w:fldChar w:fldCharType="end"/>
      </w:r>
      <w:r>
        <w:t xml:space="preserve"> said that the words of Christ have the same value as </w:t>
      </w:r>
      <w:r>
        <w:rPr>
          <w:i/>
        </w:rPr>
        <w:t>this is the figure of my body</w:t>
      </w:r>
      <w:r>
        <w:t>. VII. Athenagoras is defended against Allixius.</w:t>
      </w:r>
    </w:p>
    <w:p w14:paraId="2358C9D3" w14:textId="77777777" w:rsidR="005C2B3E" w:rsidRDefault="00000000">
      <w:r>
        <w:t xml:space="preserve">I. The holy martyr, since he understood well that mysteries should not be made common, spoke in the </w:t>
      </w:r>
      <w:r>
        <w:rPr>
          <w:i/>
        </w:rPr>
        <w:t>Dialogue</w:t>
      </w:r>
      <w:r>
        <w:t xml:space="preserve"> with the Jews about the Eucharist—of which there was then no need to explain—only to say that this sacrifice was foretold by Malachi, that bread and wine were used in it, and that the memory of the Lord’s passion was celebrated. But he did not think himself bound by this law of silence when he pleaded the cause of Christians before Emperor Antoninus. For then he saw that the whole matter had to be explained before the emperor’s eyes, so that even if it seemed absurd and unbelievable, at least it would not appear impious, detestable, or worthy of capital punishment; and if the emperor was less willing to accept Christian teaching, at least, seeing them openly explain whatever seemed most incredible and absurd, he would understand that no crime was involved in their mysteries. Therefore, he relates that bread and a cup of water and wine are offered to the one who presides over the brothers, after the reading of Scripture and after exhortations and prayers; and that, having received these, he offers glory and praise to the Father of all in the name of the Son and the Holy Spirit, and makes a long thanksgiving; that this food, thus consecrated by the priest, is called the Eucharist, and that it is not lawful for anyone to share in it unless he believes that what Christians teach is true, and has been washed in the bath for the remission of sins and regeneration, and thus lives a life as Christ taught. Why the Eucharist is held in such reverence among Christians, he explains as follows: Οὐ γὰρ ὡς κοινὸν ἄρτον, οὐδὲ κοινὸν πόμα ταῦτα λαμβάνομεν· ἀλλʼ ὃν </w:t>
      </w:r>
      <w:r>
        <w:lastRenderedPageBreak/>
        <w:t xml:space="preserve">τρόπον διὰ Λόγον Θεοῦ σαρκοποιηθεὶς Ἰησοῦς Χριστὸς ὁ Σωτὴρ ἡμῶν, καὶ σάρκα καὶ αἷμα ὑπὲρ σωτηρίας ἡμῶν ἔσχεν, οὕτως καὶ τὴν διʼ εὐχῆς λόγου τοῦ παρʼ αὐτοῦ εὐχαριστηθεῖσαν τροφὴν, ἐξ ἧς αἷμα καὶ σάρκες κατὰ μεταβολὴν τρέφονται ἡμῶν, ἐκείνου τοῦ σαρκοποιηθέντος Ἰησοῦ καὶ σάρκα καὶ αἷμα ἐδιδάχθημεν εἶναι. Οἱ γὰρ ἀπόστολοι ἐν τοῖς γενομένοις ὑπʼ αὐτῶν ἀπομνημονεύμασιν, ἂ καλεῖται Εὐαγγέλια, οὕτως παρέδωκαν ἐντετάλθαι αὐτοῖς· τὸν Ἰησοῦν λαβόντα ἄρτον, εὐχαριστήσαντα εἰπεῖν· </w:t>
      </w:r>
      <w:r>
        <w:rPr>
          <w:b/>
        </w:rPr>
        <w:t>Τοῦτο ποιεῖτε εἰς τὴν ἀνάμνησίνμου· Τοῦτό ἐστι τὸ σῶμά μου·</w:t>
      </w:r>
      <w:r>
        <w:t xml:space="preserve"> καὶ τὸ ποτήριον ὁμοίως λαβόντα καὶ εὐχαριστήσαντα εἰπεῖν· </w:t>
      </w:r>
      <w:r>
        <w:rPr>
          <w:b/>
        </w:rPr>
        <w:t>Τοῦτό ἐστι τὸ αἶμά μου·</w:t>
      </w:r>
      <w:r>
        <w:t xml:space="preserve"> καὶ μόνοις αὐτοῖς μεταδοῦναι.</w:t>
      </w:r>
    </w:p>
    <w:p w14:paraId="20436930" w14:textId="77777777" w:rsidR="005C2B3E" w:rsidRDefault="00000000">
      <w:pPr>
        <w:ind w:firstLine="360"/>
      </w:pPr>
      <w:r>
        <w:t xml:space="preserve">“For we do not take these as common bread,” he says in </w:t>
      </w:r>
      <w:r>
        <w:rPr>
          <w:i/>
        </w:rPr>
        <w:t>Apology</w:t>
      </w:r>
      <w:r>
        <w:t xml:space="preserve"> 1, number 66, “nor as common drink. But just as Jesus Christ our Savior, made flesh through the Word of God, had flesh and blood for our salvation, so also we have been taught that that food, which through prayer contains the words of grace from him, from which our blood and flesh are nourished by change, is the flesh and blood of that incarnate Jesus. For the apostles in their memoirs, which are called the Gospels, handed down that they were commanded thus: Jesus, having taken bread, after giving thanks, said, ‘Do this in remembrance of me: This is my body’; likewise, having taken the cup and given thanks, said, ‘This is my blood’; and gave it only to them.”</w:t>
      </w:r>
    </w:p>
    <w:p w14:paraId="55271F7E" w14:textId="77777777" w:rsidR="005C2B3E" w:rsidRDefault="00000000">
      <w:pPr>
        <w:ind w:firstLine="360"/>
      </w:pPr>
      <w:r>
        <w:t>II. There is nothing in this testimony that can be taken as figurative; nothing that does not clearly prove that wonderful transformation of bread and wine, which the Church has always taught. This is first seen from Justin</w:t>
      </w:r>
      <w:r>
        <w:fldChar w:fldCharType="begin"/>
      </w:r>
      <w:r>
        <w:instrText xml:space="preserve"> XE "Justin" \f "Persons"</w:instrText>
      </w:r>
      <w:r>
        <w:fldChar w:fldCharType="end"/>
      </w:r>
      <w:r>
        <w:t xml:space="preserve">’s words, showing how Christians in the second century understood the words of Christ. For no one can deny that it was absolutely necessary, if any figure was hidden in Christ’s words, that great effort would be made to explain it. For if the same thing was always said by all, with no such explanation applied; if priests taught that the bread was consecrated as the body of Christ because Christ, having taken the bread, said: </w:t>
      </w:r>
      <w:r>
        <w:rPr>
          <w:i/>
        </w:rPr>
        <w:t>This is my body</w:t>
      </w:r>
      <w:r>
        <w:t xml:space="preserve">; and that the wine was consecrated as the blood of Christ because the Word, incarnate, having taken the cup, said: </w:t>
      </w:r>
      <w:r>
        <w:rPr>
          <w:i/>
        </w:rPr>
        <w:t>This is my blood</w:t>
      </w:r>
      <w:r>
        <w:t xml:space="preserve">; if all Christians concluded nothing else from these words of Christ except that the Eucharist is the flesh and blood of Christ; can we not firmly establish as a certain principle that the ancient Christians believed what we believe and hold today? But what Christians in the second century were taught, what they concluded from Christ’s words—can it be doubtful, when the rich witness Justin declares that from Christ’s saying: </w:t>
      </w:r>
      <w:r>
        <w:rPr>
          <w:i/>
        </w:rPr>
        <w:t>This is my body; this is my blood</w:t>
      </w:r>
      <w:r>
        <w:t>, all conclude that the Eucharist is the flesh and blood of the incarnate Word?</w:t>
      </w:r>
    </w:p>
    <w:p w14:paraId="58F0026F" w14:textId="77777777" w:rsidR="005C2B3E" w:rsidRDefault="00000000">
      <w:pPr>
        <w:ind w:firstLine="360"/>
      </w:pPr>
      <w:r>
        <w:t xml:space="preserve">III. Secondly, the holy martyr declares that Christians believe the Eucharist to be the flesh and blood of the incarnate Word no less firmly than that the Word itself had flesh and blood for our salvation. </w:t>
      </w:r>
      <w:r>
        <w:rPr>
          <w:i/>
        </w:rPr>
        <w:t xml:space="preserve">Just as Jesus Christ had flesh and blood for our salvation, so also we have been taught that that food of the incarnate Jesus is flesh and </w:t>
      </w:r>
      <w:r>
        <w:rPr>
          <w:i/>
        </w:rPr>
        <w:lastRenderedPageBreak/>
        <w:t>blood.</w:t>
      </w:r>
      <w:r>
        <w:t xml:space="preserve"> The comparison of the two mysteries, the Incarnation and the Eucharist, is clear. At that time almost all heresies attacked the flesh of Christ; to say nothing of how God incarnate was always displeasing to pagans and Jews. But the greater the unbelievers’ efforts to overthrow this mystery, the greater the firmness of the Catholics in defending it. Can any more illustrious testimony to the ancient faith be required than this of Justin</w:t>
      </w:r>
      <w:r>
        <w:fldChar w:fldCharType="begin"/>
      </w:r>
      <w:r>
        <w:instrText xml:space="preserve"> XE "Justin" \f "Persons"</w:instrText>
      </w:r>
      <w:r>
        <w:fldChar w:fldCharType="end"/>
      </w:r>
      <w:r>
        <w:t>? If he had thought the Eucharist to be a figure of the absent body, would he have said that Christians believe the bread and wine after consecration to be the body and blood of the Lord, just as Christ did not have the form and figure of flesh and blood, as so many heresies imagined, but true flesh and true blood?</w:t>
      </w:r>
    </w:p>
    <w:p w14:paraId="0A9A381D" w14:textId="77777777" w:rsidR="005C2B3E" w:rsidRDefault="00000000">
      <w:pPr>
        <w:ind w:firstLine="360"/>
      </w:pPr>
      <w:r>
        <w:t xml:space="preserve">IV. Thirdly, the holy martyr admires the power of the Word in the Eucharist no less than in the Incarnation. For in these words: </w:t>
      </w:r>
      <w:r>
        <w:rPr>
          <w:i/>
        </w:rPr>
        <w:t>Jesus Christ became flesh through the Word of God</w:t>
      </w:r>
      <w:r>
        <w:t xml:space="preserve">, the person of the Word is not separated from the man born of the Virgin, nor is there any suspicion of this error in the holy martyr; but here he teaches the same as in many other places, that the Word itself formed flesh in the womb of the Virgin. Therefore, he compares the Eucharist with the Incarnation, because just as in the Incarnation the flesh of the Word was made perfect by the Word itself taking on a body, so also in the Eucharist bread and wine become flesh and blood </w:t>
      </w:r>
      <w:r>
        <w:rPr>
          <w:i/>
        </w:rPr>
        <w:t>through prayer containing the words of the same</w:t>
      </w:r>
      <w:r>
        <w:t>, that is, through the power of the same Word whose words the prayer expresses. Justin</w:t>
      </w:r>
      <w:r>
        <w:fldChar w:fldCharType="begin"/>
      </w:r>
      <w:r>
        <w:instrText xml:space="preserve"> XE "Justin" \f "Persons"</w:instrText>
      </w:r>
      <w:r>
        <w:fldChar w:fldCharType="end"/>
      </w:r>
      <w:r>
        <w:t xml:space="preserve"> therefore believed that the flesh of Christ is made present in the sacrament of the Eucharist by the same power with which it was formed in the womb of the Virgin.</w:t>
      </w:r>
    </w:p>
    <w:p w14:paraId="59677791" w14:textId="77777777" w:rsidR="005C2B3E" w:rsidRDefault="00000000">
      <w:pPr>
        <w:ind w:firstLine="360"/>
      </w:pPr>
      <w:r>
        <w:t>Fourthly, Justin</w:t>
      </w:r>
      <w:r>
        <w:fldChar w:fldCharType="begin"/>
      </w:r>
      <w:r>
        <w:instrText xml:space="preserve"> XE "Justin" \f "Persons"</w:instrText>
      </w:r>
      <w:r>
        <w:fldChar w:fldCharType="end"/>
      </w:r>
      <w:r>
        <w:t xml:space="preserve"> addressed the emperors, who were very interested in being properly and clearly informed about Christian matters; for until then they had judged Christians based on false rumors. Therefore, great caution was needed so that they would neither fail to see a hidden figure in Christ’s words if the body of Christ is not truly contained in the sacrament of the Eucharist, nor reject the whole matter as a childish story if it is truly contained. The first problem could easily be met: Justin only needed to explain the words, and nothing absurd remained; everything was clear and straightforward. But for the second, it was necessary to show that this mystery was believed by Christians not without the most certain arguments.</w:t>
      </w:r>
    </w:p>
    <w:p w14:paraId="7162D701" w14:textId="77777777" w:rsidR="005C2B3E" w:rsidRDefault="00000000">
      <w:pPr>
        <w:ind w:firstLine="360"/>
      </w:pPr>
      <w:r>
        <w:t>It cannot be doubtful which path he followed. For nowhere does he descend to that explanation of the matter which would have been so easy, so clear, and at the same time so necessary, that bread and wine are not truly the body of Christ, but are used only to signify that body. Nothing of the sort is done by the holy martyr; rather, he focuses entirely on showing that this mystery is believed not without the most serious reasons. Two things were required in a matter of such importance: first, that the one who said he accomplished it is almighty; second, that there is no obscurity in his words. Justin</w:t>
      </w:r>
      <w:r>
        <w:fldChar w:fldCharType="begin"/>
      </w:r>
      <w:r>
        <w:instrText xml:space="preserve"> XE "Justin" \f "Persons"</w:instrText>
      </w:r>
      <w:r>
        <w:fldChar w:fldCharType="end"/>
      </w:r>
      <w:r>
        <w:t xml:space="preserve"> relies on both arguments, when he appeals to the faith of Christians from the </w:t>
      </w:r>
      <w:r>
        <w:lastRenderedPageBreak/>
        <w:t xml:space="preserve">fact that the Word, which formed flesh in the womb of the Virgin, said, taking the bread: </w:t>
      </w:r>
      <w:r>
        <w:rPr>
          <w:i/>
        </w:rPr>
        <w:t>This is my body;</w:t>
      </w:r>
      <w:r>
        <w:t xml:space="preserve"> and, taking the cup: </w:t>
      </w:r>
      <w:r>
        <w:rPr>
          <w:i/>
        </w:rPr>
        <w:t>This is my blood.</w:t>
      </w:r>
      <w:r>
        <w:t xml:space="preserve"> For the sense in which the Eucharist teaches us this, as well as other Fathers, see the discussion in 3 </w:t>
      </w:r>
      <w:r>
        <w:rPr>
          <w:i/>
        </w:rPr>
        <w:t>in Iren</w:t>
      </w:r>
      <w:r>
        <w:t>, art. 7, nos. 94 and 95.</w:t>
      </w:r>
    </w:p>
    <w:p w14:paraId="77DF3FB0" w14:textId="77777777" w:rsidR="005C2B3E" w:rsidRDefault="00000000">
      <w:pPr>
        <w:ind w:firstLine="360"/>
      </w:pPr>
      <w:r>
        <w:t>Fifthly, if the Eucharist offered such use to Justin when speaking to the pagans, how much more did it supply weapons when writing against heretics, for whose errors it was especially suited to overthrow? They denied that Christ was the Son of God, the Creator of the world; instead, they imagined the Father of Christ as some god superior to the creator. But how could Christ have used things not created by himself for the consecration of the Eucharist? They denied the resurrection of the flesh. But how could the flesh, which is nourished by the body and blood of the Lord, be subject to eternal destruction? They denied that Christ assumed true flesh. The Eucharist, which is the sharing of the body and blood of Christ, also refuted this impiety. “For blood is nothing else than the substance from veins and flesh and the rest which belongs to man, which truly became the Word of God,” says Irenaeus</w:t>
      </w:r>
      <w:r>
        <w:fldChar w:fldCharType="begin"/>
      </w:r>
      <w:r>
        <w:instrText xml:space="preserve"> XE "Irenaeus" \f "Persons"</w:instrText>
      </w:r>
      <w:r>
        <w:fldChar w:fldCharType="end"/>
      </w:r>
      <w:r>
        <w:t>, book 5, chapter 2. Therefore, there is no doubt that the holy martyr used these arguments before Irenaeus and Tertullian</w:t>
      </w:r>
      <w:r>
        <w:fldChar w:fldCharType="begin"/>
      </w:r>
      <w:r>
        <w:instrText xml:space="preserve"> XE "Tertullian" \f "Persons"</w:instrText>
      </w:r>
      <w:r>
        <w:fldChar w:fldCharType="end"/>
      </w:r>
      <w:r>
        <w:t>, both in his book against Marcion and in another written against all heresies. For this reason, I will not seem to depart from the purpose of defending his doctrine if I now attempt to explain two testimonies of great importance, one from St</w:t>
      </w:r>
      <w:r>
        <w:fldChar w:fldCharType="begin"/>
      </w:r>
      <w:r>
        <w:instrText xml:space="preserve"> XE "St" \f "Persons"</w:instrText>
      </w:r>
      <w:r>
        <w:fldChar w:fldCharType="end"/>
      </w:r>
      <w:r>
        <w:t>. Irenaeus and one from Tertullian, which, although they had strong defenders, still seem to require fuller light for understanding their contexts. Moreover, in this dispute of Irenaeus and Tertullian against those who denied the flesh of Christ, the teaching of Athenagoras</w:t>
      </w:r>
      <w:r>
        <w:fldChar w:fldCharType="begin"/>
      </w:r>
      <w:r>
        <w:instrText xml:space="preserve"> XE "Athenagoras" \f "Persons"</w:instrText>
      </w:r>
      <w:r>
        <w:fldChar w:fldCharType="end"/>
      </w:r>
      <w:r>
        <w:t xml:space="preserve"> will be safely placed, whom Peter Allix claims removed blood from resurrected bodies and did not recognize the blood of Christ in the Eucharist.</w:t>
      </w:r>
    </w:p>
    <w:p w14:paraId="4A9B4CBB" w14:textId="77777777" w:rsidR="005C2B3E" w:rsidRDefault="00000000">
      <w:pPr>
        <w:ind w:firstLine="360"/>
      </w:pPr>
      <w:r>
        <w:t>Thus Irenaeus, book 4, chapter 18, no. 5: Πῶς … τὴν σάρκα λέγουσιν εἰς φθορὰν χωρεῖν, καὶ μὴ μετέχειν τῆς ζωῆς, τὴν ἀπὸ τοῦ σώματος τοῦ Κυρίου, καὶ τοῦ αἵματος αὐτοῦ τρεφομένην; ἢ τὴν γνώμην ἀλλαξάτωσαν, ἢ τὸ προσφέρειν τὰ εἰρημένα παραιτείσθωσαν. Ἡμῶν δὲ σύμφωνος ἡ γνώμη τῇ εὐχαριστίᾳ, καὶ ἡ εὐχαριστία … βεβαιοῖ τὴν γνώμην … προσφέρομεν δὲ αὐτῷ τὰ ἴδια, ἐμμελῶς κοινωνίαν καὶ ἕνωσιν ἀπαγγέλλοντες, καὶ ὁμολογοῦντες σαρκὸς καὶ πνεύματος ἔγερσιν. Ὡς γὰρ ἀπὸ γῆς ἄρτος προσλαμβάνομένος τὴν ἔκκλησιν τοῦ Θεοῦ, οὐκέτι κοινὸς ἄρτος ἐστὶν, ἀλλʼ εὐχαριστία, ἐκ δύο πραγμάτων συνεστηκυῖα, ἐπιγείου τε καὶ οὐρανίου· οὕτως καὶ τὰ σώματα ἡμῶν μεταλαμβάνοντα τῆς εὐχαριστίας, μηκέτι εἷναι (ἐστὶ) φθαρτὰ, τὴν ἐλπίδα τῆς εἰς αἰῶνας ἀναστάσεως ἔχοντα.</w:t>
      </w:r>
    </w:p>
    <w:p w14:paraId="42DB7D45" w14:textId="77777777" w:rsidR="005C2B3E" w:rsidRDefault="00000000">
      <w:pPr>
        <w:ind w:firstLine="360"/>
      </w:pPr>
      <w:r>
        <w:t xml:space="preserve">“But how again do they say that the flesh falls into corruption and does not share in life, which is nourished by the body and blood of the Lord? Therefore, either let them change their opinion or refrain from offering what has been said. Our opinion agrees with the Eucharist, and the Eucharist again confirms our opinion. For we offer </w:t>
      </w:r>
      <w:r>
        <w:lastRenderedPageBreak/>
        <w:t>to him his own things, rightly proclaiming communication and unity, and confessing the resurrection of flesh and spirit. Just as bread taken from the earth, receiving the invocation of God, is no longer common bread but Eucharist, made up of two things, earthly and heavenly; so also our bodies, partaking of the Eucharist, are no longer corruptible, having the hope of resurrection.”</w:t>
      </w:r>
    </w:p>
    <w:p w14:paraId="7961AA03" w14:textId="77777777" w:rsidR="005C2B3E" w:rsidRDefault="00000000">
      <w:pPr>
        <w:ind w:firstLine="360"/>
      </w:pPr>
      <w:r>
        <w:t xml:space="preserve">Only the Church in celebrating the Eucharist proclaims communication and unity, because sects do not rightly divide, as number 3 said, </w:t>
      </w:r>
      <w:r>
        <w:rPr>
          <w:i/>
        </w:rPr>
        <w:t>that which is communion to the neighbor.</w:t>
      </w:r>
      <w:r>
        <w:t xml:space="preserve"> The resurrection of body and spirit or soul, which the Church teaches, is a way of speaking commonly used among the ancients, as I observed in Theophilus of Antioch, book 1.</w:t>
      </w:r>
    </w:p>
    <w:p w14:paraId="32C42F26" w14:textId="77777777" w:rsidR="005C2B3E" w:rsidRDefault="00000000">
      <w:pPr>
        <w:ind w:firstLine="360"/>
      </w:pPr>
      <w:r>
        <w:t xml:space="preserve">But what must be especially noted in these words: </w:t>
      </w:r>
      <w:r>
        <w:rPr>
          <w:i/>
        </w:rPr>
        <w:t>The Eucharist consists of two things, earthly and heavenly,</w:t>
      </w:r>
      <w:r>
        <w:t xml:space="preserve"> is that two different states of the Eucharist are considered, corresponding to different times. First, the thing is earthly, that is, </w:t>
      </w:r>
      <w:r>
        <w:rPr>
          <w:i/>
        </w:rPr>
        <w:t>the bread which is from the earth,</w:t>
      </w:r>
      <w:r>
        <w:t xml:space="preserve"> in one word, </w:t>
      </w:r>
      <w:r>
        <w:rPr>
          <w:i/>
        </w:rPr>
        <w:t>common bread;</w:t>
      </w:r>
      <w:r>
        <w:t xml:space="preserve"> then it becomes the Eucharist, that is, the body and blood of the Lord. Irenaeus</w:t>
      </w:r>
      <w:r>
        <w:fldChar w:fldCharType="begin"/>
      </w:r>
      <w:r>
        <w:instrText xml:space="preserve"> XE "Irenaeus" \f "Persons"</w:instrText>
      </w:r>
      <w:r>
        <w:fldChar w:fldCharType="end"/>
      </w:r>
      <w:r>
        <w:t xml:space="preserve"> also clearly describes this twofold state in succession in another place: Καὶ ὅνπερ τρόπον τὸ ξύλον τῆς ἀμπέλου κλιθὲν εἰς τὴν γῆν τῷ ἰδίῳ καιρῷ ἐκαρποφόρησε, καὶ ὁ κόκκος τοῦ σίτου πεσὼν εἰς τὴν γῆν, καὶ διαλυθεὶς, πολλοστὸς ἠγέρθη διὰ τοῦ Πνεύματος τοῦ Θεοῦ, τοῦ συνέχοντος τὰ πάντα· ἔπειτα δὲ διὰ τῆς σοφίας εἰς χρῆσιν ἐλθόντα ἀνθρώπων, καὶ προσλαμβανόμενα τὸν λόγον τοῦ Θεοῦ εὐχαριστία γίνεται, ὅπερ ἐστὶ σῶμα καὶ αἷμα τοῦ Χριστοῦ· οὕτως καὶ τὰ ἡμέτερα σώματα ἐξ αὐτῆς τρεφόμενα, καὶ τεθέντα εἰς τὴν γῆν, καὶ διαλυθέντα ἐν αὐτῇ, ἀναστήσεται ἐν τῷ ἰδίῳ καιρῷ, τοῦ λόγου τοῦ Θεοῦ τὴν ἔγερσιν αὐτοῖς χαριζομένου εἰς δόξαν Θεοῦ καὶ Πατρός.</w:t>
      </w:r>
    </w:p>
    <w:p w14:paraId="2B519A99" w14:textId="77777777" w:rsidR="005C2B3E" w:rsidRDefault="00000000">
      <w:pPr>
        <w:ind w:firstLine="360"/>
      </w:pPr>
      <w:r>
        <w:t xml:space="preserve">“And just as the wood of the vine, placed in the earth, bears fruit in its own time, and the grain of wheat falling into the earth and being dissolved rises manyfold through the Spirit of God, who holds all things together; then through wisdom coming into the use of men and receiving the Word of God it becomes Eucharist, which is the body and blood of Christ; so also our bodies, nourished by it and laid in the earth, and dissolved in it, will rise in their own time, God’s Word granting resurrection to them for the glory of God the Father,” says he in book 5, chapter 2, no. 3. One cannot fail to notice here the succession of different states, unless one is blind. First, the thing is earthly, namely that </w:t>
      </w:r>
      <w:r>
        <w:rPr>
          <w:i/>
        </w:rPr>
        <w:t>which, laid in the earth, bears fruit in its own time</w:t>
      </w:r>
      <w:r>
        <w:t xml:space="preserve"> and comes into the use of men, and is common bread; then it is </w:t>
      </w:r>
      <w:r>
        <w:rPr>
          <w:i/>
        </w:rPr>
        <w:t>the body and blood of Christ,</w:t>
      </w:r>
      <w:r>
        <w:t xml:space="preserve"> that is, the heavenly thing.</w:t>
      </w:r>
    </w:p>
    <w:p w14:paraId="74A4B898" w14:textId="77777777" w:rsidR="005C2B3E" w:rsidRDefault="00000000">
      <w:pPr>
        <w:ind w:firstLine="360"/>
      </w:pPr>
      <w:r>
        <w:t xml:space="preserve">The comparison of the Eucharist itself with the twofold state of our bodies also places before our eyes the succession of two states in the Eucharist. The change is compared with change: the earthly thing, which becomes a heavenly thing, or common bread, which becomes the body of Christ, with the corruptible body, which becomes </w:t>
      </w:r>
      <w:r>
        <w:lastRenderedPageBreak/>
        <w:t>the incorruptible body. But what importance would the earthly and heavenly, corruptible and incorruptible, at the same time and without any succession, have for the bodies, which are now corruptible, regarding their future incorruptibility?</w:t>
      </w:r>
    </w:p>
    <w:p w14:paraId="6E4A9754" w14:textId="77777777" w:rsidR="005C2B3E" w:rsidRDefault="00000000">
      <w:pPr>
        <w:ind w:firstLine="360"/>
      </w:pPr>
      <w:r>
        <w:t>There is indeed a difference between that change which takes place in the Eucharist and that which is promised to our bodies, namely that the substance of the bread is changed into something very different, while our bodies retain their substance and only their quality is to be changed. But from this difference the comparison becomes clearer. For Irenaeus proves a lesser miracle from a greater, as a controversy from a non-controversy. Indeed, his reasoning would be absurd unless we say that the substance of the bread is completely changed and nothing of it remains. For whatever honor the bread gains, if it does not cease to be bread, the change of our bodies will be far more wonderful, which not only will acquire the glory of incorruption but also, having been dead, dissolved, and scattered into various parts of the world, will become bodies in the same substance, with the added gift of incorruptibility.</w:t>
      </w:r>
    </w:p>
    <w:p w14:paraId="3E9C51F3" w14:textId="77777777" w:rsidR="005C2B3E" w:rsidRDefault="00000000">
      <w:pPr>
        <w:ind w:firstLine="360"/>
      </w:pPr>
      <w:r>
        <w:t>Moreover, Irenaeus</w:t>
      </w:r>
      <w:r>
        <w:fldChar w:fldCharType="begin"/>
      </w:r>
      <w:r>
        <w:instrText xml:space="preserve"> XE "Irenaeus" \f "Persons"</w:instrText>
      </w:r>
      <w:r>
        <w:fldChar w:fldCharType="end"/>
      </w:r>
      <w:r>
        <w:t xml:space="preserve"> considers two changes in the bread: the first, by which, falling from the wheat into the earth and being dissolved, it </w:t>
      </w:r>
      <w:r>
        <w:rPr>
          <w:i/>
        </w:rPr>
        <w:t>rises manyfold through the Spirit of God</w:t>
      </w:r>
      <w:r>
        <w:t xml:space="preserve"> and becomes bread for the use of men; the second, by which, receiving the Word of God, it becomes the body of Christ. The latter change is far more wonderful than the first. For both are compared with our bodies, </w:t>
      </w:r>
      <w:r>
        <w:rPr>
          <w:i/>
        </w:rPr>
        <w:t>which, nourished by the Eucharist, laid in the earth and dissolved in it, will rise in their own time.</w:t>
      </w:r>
      <w:r>
        <w:t xml:space="preserve"> But the cause of the resurrection is only that change of bread into the body of Christ, which will be none at all if the substance of bread remains.</w:t>
      </w:r>
    </w:p>
    <w:p w14:paraId="0E00A86E" w14:textId="77777777" w:rsidR="005C2B3E" w:rsidRDefault="00000000">
      <w:pPr>
        <w:ind w:firstLine="360"/>
      </w:pPr>
      <w:r>
        <w:t>VI. The passage of Tertullian</w:t>
      </w:r>
      <w:r>
        <w:fldChar w:fldCharType="begin"/>
      </w:r>
      <w:r>
        <w:instrText xml:space="preserve"> XE "Tertullian" \f "Persons"</w:instrText>
      </w:r>
      <w:r>
        <w:fldChar w:fldCharType="end"/>
      </w:r>
      <w:r>
        <w:t xml:space="preserve"> is read in book iv of </w:t>
      </w:r>
      <w:r>
        <w:rPr>
          <w:i/>
        </w:rPr>
        <w:t>Against Marcion</w:t>
      </w:r>
      <w:r>
        <w:t xml:space="preserve">, chapter 4, where he speaks thus: “Therefore, having declared that he desired to eat the Passover and his own (for God would not desire what is unworthy or foreign), he made that bread, received and distributed to the disciples, his body: saying </w:t>
      </w:r>
      <w:r>
        <w:rPr>
          <w:i/>
        </w:rPr>
        <w:t>This is my body</w:t>
      </w:r>
      <w:r>
        <w:t>, that is, the figure of my body. But it would not be a figure unless it were the body of truth. Moreover, an empty thing, which is a phantom, could not take on a figure. Or if he made the bread his body because it lacked the truth of a body, then he ought to have given bread for us. He was acting to the vanity of Marcion that bread might be crucified for us.”</w:t>
      </w:r>
    </w:p>
    <w:p w14:paraId="4A4A2C92" w14:textId="77777777" w:rsidR="005C2B3E" w:rsidRDefault="00000000">
      <w:pPr>
        <w:ind w:firstLine="360"/>
      </w:pPr>
      <w:r>
        <w:t>Another explanation of this passage was offered by Perronius</w:t>
      </w:r>
      <w:r>
        <w:fldChar w:fldCharType="begin"/>
      </w:r>
      <w:r>
        <w:instrText xml:space="preserve"> XE "Perronius" \f "Persons"</w:instrText>
      </w:r>
      <w:r>
        <w:fldChar w:fldCharType="end"/>
      </w:r>
      <w:r>
        <w:t xml:space="preserve">, and another by the authors of </w:t>
      </w:r>
      <w:r>
        <w:rPr>
          <w:i/>
        </w:rPr>
        <w:t>Perpetuity of the Faith</w:t>
      </w:r>
      <w:r>
        <w:t>: but both safely upheld the meaning of Tertullian</w:t>
      </w:r>
      <w:r>
        <w:fldChar w:fldCharType="begin"/>
      </w:r>
      <w:r>
        <w:instrText xml:space="preserve"> XE "Tertullian" \f "Persons"</w:instrText>
      </w:r>
      <w:r>
        <w:fldChar w:fldCharType="end"/>
      </w:r>
      <w:r>
        <w:t xml:space="preserve"> and prevented opponents from abusing his testimony. Nothing stands in the way of our bringing a third explanation, which also generally supports the same purpose.</w:t>
      </w:r>
    </w:p>
    <w:p w14:paraId="1A9CC81D" w14:textId="77777777" w:rsidR="005C2B3E" w:rsidRDefault="00000000">
      <w:pPr>
        <w:ind w:firstLine="360"/>
      </w:pPr>
      <w:r>
        <w:t>Tertullian</w:t>
      </w:r>
      <w:r>
        <w:fldChar w:fldCharType="begin"/>
      </w:r>
      <w:r>
        <w:instrText xml:space="preserve"> XE "Tertullian" \f "Persons"</w:instrText>
      </w:r>
      <w:r>
        <w:fldChar w:fldCharType="end"/>
      </w:r>
      <w:r>
        <w:t xml:space="preserve"> understands figure as that which outlines some substance with external signs; hence he says: </w:t>
      </w:r>
      <w:r>
        <w:rPr>
          <w:i/>
        </w:rPr>
        <w:t>An empty thing, which is a phantom, could not take on a figure:</w:t>
      </w:r>
      <w:r>
        <w:t xml:space="preserve"> </w:t>
      </w:r>
      <w:r>
        <w:lastRenderedPageBreak/>
        <w:t xml:space="preserve">only a solid body can lie under a figure. Therefore, he assigns this meaning to the words of Christ, </w:t>
      </w:r>
      <w:r>
        <w:rPr>
          <w:i/>
        </w:rPr>
        <w:t>This is my body</w:t>
      </w:r>
      <w:r>
        <w:t>, that is, the figure which outlines my body, and the sacrament by which the substance of my body is contained.</w:t>
      </w:r>
    </w:p>
    <w:p w14:paraId="0BB5C9AB" w14:textId="77777777" w:rsidR="005C2B3E" w:rsidRDefault="00000000">
      <w:pPr>
        <w:ind w:firstLine="360"/>
      </w:pPr>
      <w:r>
        <w:t>Why Tertullian</w:t>
      </w:r>
      <w:r>
        <w:fldChar w:fldCharType="begin"/>
      </w:r>
      <w:r>
        <w:instrText xml:space="preserve"> XE "Tertullian" \f "Persons"</w:instrText>
      </w:r>
      <w:r>
        <w:fldChar w:fldCharType="end"/>
      </w:r>
      <w:r>
        <w:t xml:space="preserve"> adds this explanation to the words of Christ is easily understood from the error of Marcion</w:t>
      </w:r>
      <w:r>
        <w:fldChar w:fldCharType="begin"/>
      </w:r>
      <w:r>
        <w:instrText xml:space="preserve"> XE "Marcion" \f "Persons"</w:instrText>
      </w:r>
      <w:r>
        <w:fldChar w:fldCharType="end"/>
      </w:r>
      <w:r>
        <w:t xml:space="preserve">, which he undertook to refute. Marcion said that the body of Christ was a phantom, and he completely thought that human flesh was unworthy to become the flesh of God: this impious error could not stand against the Church’s faith about the sacrament of the Eucharist. If Marcion had attributed to Christ an animal body and heavenly flesh, as the Valentinians did, he would not have fought so absurdly against himself in celebrating the sacrament of the Eucharist. But since he claimed that the body of Christ was a mere phantom, the same could be said about him that Saint Ignatius said about heretics who thought the same, in his letter to the Smyrnaeans, that they do not confess </w:t>
      </w:r>
      <w:r>
        <w:rPr>
          <w:i/>
        </w:rPr>
        <w:t>the Eucharist to be the flesh of our Savior Jesus Christ, which suffered for our sins</w:t>
      </w:r>
      <w:r>
        <w:t>.</w:t>
      </w:r>
    </w:p>
    <w:p w14:paraId="58066363" w14:textId="77777777" w:rsidR="005C2B3E" w:rsidRDefault="00000000">
      <w:pPr>
        <w:ind w:firstLine="360"/>
      </w:pPr>
      <w:r>
        <w:t>But still Marcion, although he had imposed on himself the necessity of thinking the same as those older heretics, dared not disturb anything in what concerns the Eucharist: he was accustomed to cut off from the Gospel whatever he despaired of reconciling with his errors, and he had respected the words pronounced by Christ in the consecrated Eucharist, as Tertullian</w:t>
      </w:r>
      <w:r>
        <w:fldChar w:fldCharType="begin"/>
      </w:r>
      <w:r>
        <w:instrText xml:space="preserve"> XE "Tertullian" \f "Persons"</w:instrText>
      </w:r>
      <w:r>
        <w:fldChar w:fldCharType="end"/>
      </w:r>
      <w:r>
        <w:t xml:space="preserve"> testifies in book 3, chapter 19. Therefore, Tertullian, doubtful and uncertain about how Marcion would turn out, tries to bind him with a double knot and to bring him to the point that he either renounces his error about the flesh of Christ if he keeps the Catholic faith about the Eucharist, or if he denies that faith, openly reveals his impiety.</w:t>
      </w:r>
    </w:p>
    <w:p w14:paraId="081FA4A2" w14:textId="77777777" w:rsidR="005C2B3E" w:rsidRDefault="00000000">
      <w:pPr>
        <w:ind w:firstLine="360"/>
      </w:pPr>
      <w:r>
        <w:t>Therefore, Tertullian</w:t>
      </w:r>
      <w:r>
        <w:fldChar w:fldCharType="begin"/>
      </w:r>
      <w:r>
        <w:instrText xml:space="preserve"> XE "Tertullian" \f "Persons"</w:instrText>
      </w:r>
      <w:r>
        <w:fldChar w:fldCharType="end"/>
      </w:r>
      <w:r>
        <w:t xml:space="preserve"> notes that the body of Christ in the Eucharist is not shown to us in the state in which it was shown when it was seen on earth by men, but in figure, or in the sacrament of bread and wine. From this, the most fitting conclusion is drawn: a solid body, not a phantom, must be attributed to Christ; for </w:t>
      </w:r>
      <w:r>
        <w:rPr>
          <w:i/>
        </w:rPr>
        <w:t>a phantom cannot take on a figure</w:t>
      </w:r>
      <w:r>
        <w:t>, an empty thing cannot be outlined by the external signs of bread and wine, nor would anything be more absurd than for another image and figure to be assumed, under which to hide, from the empty phantom of a man and the empty image of a human body.</w:t>
      </w:r>
    </w:p>
    <w:p w14:paraId="40FBA242" w14:textId="77777777" w:rsidR="005C2B3E" w:rsidRDefault="00000000">
      <w:pPr>
        <w:ind w:firstLine="360"/>
      </w:pPr>
      <w:r>
        <w:t>Therefore, it was important for Tertullian</w:t>
      </w:r>
      <w:r>
        <w:fldChar w:fldCharType="begin"/>
      </w:r>
      <w:r>
        <w:instrText xml:space="preserve"> XE "Tertullian" \f "Persons"</w:instrText>
      </w:r>
      <w:r>
        <w:fldChar w:fldCharType="end"/>
      </w:r>
      <w:r>
        <w:t xml:space="preserve"> to observe and warn that the body of Christ in the Eucharist is not presented in the same figure, image, and appearance that it had on earth, but in the figure and appearance of bread. And this reasoning of his not only pressed Marcion</w:t>
      </w:r>
      <w:r>
        <w:fldChar w:fldCharType="begin"/>
      </w:r>
      <w:r>
        <w:instrText xml:space="preserve"> XE "Marcion" \f "Persons"</w:instrText>
      </w:r>
      <w:r>
        <w:fldChar w:fldCharType="end"/>
      </w:r>
      <w:r>
        <w:t xml:space="preserve"> very closely, but also provides us with two points to observe and conclude: first, that the true body of Christ is given to us in the Eucharist, since this sacrament could not take on a figure if it were an empty thing and a phantom; secondly, that nothing remains of the bread except the appearance or figure; for </w:t>
      </w:r>
      <w:r>
        <w:lastRenderedPageBreak/>
        <w:t>according to Marcion’s view, an empty figure would hide under an empty appearance—something Tertullian would never have noticed if he had sensed that the substance of the bread remained along with the figure and appearance.</w:t>
      </w:r>
    </w:p>
    <w:p w14:paraId="108C9BCA" w14:textId="77777777" w:rsidR="005C2B3E" w:rsidRDefault="00000000">
      <w:pPr>
        <w:ind w:firstLine="360"/>
      </w:pPr>
      <w:r>
        <w:t>But because it was unlikely that Marcion</w:t>
      </w:r>
      <w:r>
        <w:fldChar w:fldCharType="begin"/>
      </w:r>
      <w:r>
        <w:instrText xml:space="preserve"> XE "Marcion" \f "Persons"</w:instrText>
      </w:r>
      <w:r>
        <w:fldChar w:fldCharType="end"/>
      </w:r>
      <w:r>
        <w:t xml:space="preserve"> and the Church felt the same about the Eucharist, Tertullian</w:t>
      </w:r>
      <w:r>
        <w:fldChar w:fldCharType="begin"/>
      </w:r>
      <w:r>
        <w:instrText xml:space="preserve"> XE "Tertullian" \f "Persons"</w:instrText>
      </w:r>
      <w:r>
        <w:fldChar w:fldCharType="end"/>
      </w:r>
      <w:r>
        <w:t xml:space="preserve"> suspects that the words of Christ, </w:t>
      </w:r>
      <w:r>
        <w:rPr>
          <w:i/>
        </w:rPr>
        <w:t>This is my body</w:t>
      </w:r>
      <w:r>
        <w:t xml:space="preserve">, were understood by Marcion as if Christ had adopted the bread as his body; from this he concludes that the bread ought to have been given and crucified for us, if Christ’s words are taken so that the bread, not changed at all, is said to be adopted by Christ in place of the body: “Or if he made the bread his body because it lacked the truth of a body, then he ought to have given the bread for us. Marcion was vainly making it so that the bread would be crucified for us.” Tertullian suspects, but does not assert, that Marcion thought this way; yet we must consider what this suspicion means for us. First, that absurd adoption of bread into the body of Christ would never have come to Marcion’s mind unless the impious invention of a phantom body of Christ had forced this necessity on him; he would not have thought that the substance of the bread remained in the Eucharist if he had left the substance of Christ’s body intact. Therefore, all Catholics, against whom Marcion fought openly, believed that in the Eucharist there was not bread but the true body of Christ. Then at least Marcion would have allowed that, if Tertullian’s conjecture is true, the Word is worshiped in the Eucharist hypostatically united with the bread. But how could Marcion have accepted this opinion, or how could Tertullian have attributed it to Marcion, except because both took the words of Christ, </w:t>
      </w:r>
      <w:r>
        <w:rPr>
          <w:i/>
        </w:rPr>
        <w:t>This is my body</w:t>
      </w:r>
      <w:r>
        <w:t>, in the sense that first comes to mind, and both agreed that the words are clear and plain, promising and showing a great thing by these words?</w:t>
      </w:r>
    </w:p>
    <w:p w14:paraId="7D4157BD" w14:textId="77777777" w:rsidR="005C2B3E" w:rsidRDefault="00000000">
      <w:pPr>
        <w:ind w:firstLine="360"/>
      </w:pPr>
      <w:r>
        <w:t>Tertullian</w:t>
      </w:r>
      <w:r>
        <w:fldChar w:fldCharType="begin"/>
      </w:r>
      <w:r>
        <w:instrText xml:space="preserve"> XE "Tertullian" \f "Persons"</w:instrText>
      </w:r>
      <w:r>
        <w:fldChar w:fldCharType="end"/>
      </w:r>
      <w:r>
        <w:t>’s conjecture is confirmed by Euthymius</w:t>
      </w:r>
      <w:r>
        <w:fldChar w:fldCharType="begin"/>
      </w:r>
      <w:r>
        <w:instrText xml:space="preserve"> XE "Euthymius" \f "Persons"</w:instrText>
      </w:r>
      <w:r>
        <w:fldChar w:fldCharType="end"/>
      </w:r>
      <w:r>
        <w:t xml:space="preserve"> </w:t>
      </w:r>
      <w:r>
        <w:rPr>
          <w:i/>
        </w:rPr>
        <w:t>Panopl</w:t>
      </w:r>
      <w:r>
        <w:t>, part ii, title 2. For he testifies that the Armenians, who admitted one nature in Christ and believed that the body of Christ had been transformed into divinity, denied that the Eucharist is the body of Christ, but said that it is the body of divinity.</w:t>
      </w:r>
    </w:p>
    <w:p w14:paraId="4ECFF92D" w14:textId="77777777" w:rsidR="005C2B3E" w:rsidRDefault="00000000">
      <w:pPr>
        <w:ind w:firstLine="360"/>
      </w:pPr>
      <w:r>
        <w:t>VII. If not even those who attributed a phantom body to Christ denied that Christ is present in the Eucharist to be worshiped and received; how much more must the excellent defender of religion, Athenagoras</w:t>
      </w:r>
      <w:r>
        <w:fldChar w:fldCharType="begin"/>
      </w:r>
      <w:r>
        <w:instrText xml:space="preserve"> XE "Athenagoras" \f "Persons"</w:instrText>
      </w:r>
      <w:r>
        <w:fldChar w:fldCharType="end"/>
      </w:r>
      <w:r>
        <w:t xml:space="preserve">, be beyond suspicion, even if, as Peter Allix argues in the dissertation </w:t>
      </w:r>
      <w:r>
        <w:rPr>
          <w:i/>
        </w:rPr>
        <w:t>On the Blood of Our Lord Jesus Christ</w:t>
      </w:r>
      <w:r>
        <w:t>, he thought that our bodies after the resurrection would exist without blood? Indeed, Allix himself cites among those who deny that blood is present in resurrected bodies Peter Mansur, who in a letter among the works of St</w:t>
      </w:r>
      <w:r>
        <w:fldChar w:fldCharType="begin"/>
      </w:r>
      <w:r>
        <w:instrText xml:space="preserve"> XE "St" \f "Persons"</w:instrText>
      </w:r>
      <w:r>
        <w:fldChar w:fldCharType="end"/>
      </w:r>
      <w:r>
        <w:t>. John Damascene</w:t>
      </w:r>
      <w:r>
        <w:fldChar w:fldCharType="begin"/>
      </w:r>
      <w:r>
        <w:instrText xml:space="preserve"> XE "John Damascene" \f "Persons"</w:instrText>
      </w:r>
      <w:r>
        <w:fldChar w:fldCharType="end"/>
      </w:r>
      <w:r>
        <w:t xml:space="preserve"> in volume I asserts that the immortal body lacks blood, but nevertheless, what Allix cleverly left unspoken, he reconciles this very bad opinion with the Catholic faith about the Eucharist by declaring that the body of Christ in the Eucharist is not as it is in heaven, but as it was </w:t>
      </w:r>
      <w:r>
        <w:lastRenderedPageBreak/>
        <w:t xml:space="preserve">in the womb of the Virgin. Therefore, if any ancient writers felt what Allix claims they felt, it would not follow that they departed from the Catholic faith about the Eucharist. But no reason proves that Athenagoras suffered from this error about resurrected bodies. He only argues, as the very learned man Jacques Boileau observes in the dissertation </w:t>
      </w:r>
      <w:r>
        <w:rPr>
          <w:i/>
        </w:rPr>
        <w:t>Against Allix</w:t>
      </w:r>
      <w:r>
        <w:t>, art. 2, p. 30, that blood will not be subject to corruption in the immortal life as it is in this mortal life.</w:t>
      </w:r>
    </w:p>
    <w:p w14:paraId="1B971595" w14:textId="77777777" w:rsidR="005C2B3E" w:rsidRDefault="00000000">
      <w:pPr>
        <w:ind w:firstLine="360"/>
      </w:pPr>
      <w:r>
        <w:t>Athenagoras</w:t>
      </w:r>
      <w:r>
        <w:fldChar w:fldCharType="begin"/>
      </w:r>
      <w:r>
        <w:instrText xml:space="preserve"> XE "Athenagoras" \f "Persons"</w:instrText>
      </w:r>
      <w:r>
        <w:fldChar w:fldCharType="end"/>
      </w:r>
      <w:r>
        <w:t xml:space="preserve"> meets those who oppose this doctrine in the book </w:t>
      </w:r>
      <w:r>
        <w:rPr>
          <w:i/>
        </w:rPr>
        <w:t>On the Resurrection of the Dead</w:t>
      </w:r>
      <w:r>
        <w:t>, no. 4, with the argument about human bodies, which, having been eaten by beasts, are then passed into the bodies of other men, or have been given as food to men themselves by some tragic crime. From this, they conclude either that something will be lacking to those who were thus consumed if their own flesh is not restored to them; or if it is restored, that those who consumed it will have a defective and imperfect flesh.</w:t>
      </w:r>
    </w:p>
    <w:p w14:paraId="0E23ADA1" w14:textId="77777777" w:rsidR="005C2B3E" w:rsidRDefault="00000000">
      <w:pPr>
        <w:ind w:firstLine="360"/>
      </w:pPr>
      <w:r>
        <w:t>Athenagoras</w:t>
      </w:r>
      <w:r>
        <w:fldChar w:fldCharType="begin"/>
      </w:r>
      <w:r>
        <w:instrText xml:space="preserve"> XE "Athenagoras" \f "Persons"</w:instrText>
      </w:r>
      <w:r>
        <w:fldChar w:fldCharType="end"/>
      </w:r>
      <w:r>
        <w:t xml:space="preserve"> replies that human flesh is food for another man against nature: therefore, if anyone has eaten human flesh either by their own crime or by another’s deceit, it will by no means be that such food, so contrary to nature, will unite with the parts of the one eating it, but rather that it will be rejected as harmful and hostile. And even if this food is changed </w:t>
      </w:r>
      <w:r>
        <w:rPr>
          <w:i/>
        </w:rPr>
        <w:t>into something moist or dry, or hot or cold</w:t>
      </w:r>
      <w:r>
        <w:t xml:space="preserve">, Athenagoras denies that it is any of these things or takes on the appearance of any part; indeed, it does not always remain in the parts that receive nourishment, nor does it rise again with the resurrected bodies, </w:t>
      </w:r>
      <w:r>
        <w:rPr>
          <w:i/>
        </w:rPr>
        <w:t>contributing nothing then to life by blood, whether by phlegm, bile, or spirit</w:t>
      </w:r>
      <w:r>
        <w:t>. Therefore, Athenagoras does not remove blood from the resurrection, but denies that it will be such that life depends on blood, which must therefore be tempered by various humors. Thus Augustine</w:t>
      </w:r>
      <w:r>
        <w:fldChar w:fldCharType="begin"/>
      </w:r>
      <w:r>
        <w:instrText xml:space="preserve"> XE "Augustine" \f "Persons"</w:instrText>
      </w:r>
      <w:r>
        <w:fldChar w:fldCharType="end"/>
      </w:r>
      <w:r>
        <w:t xml:space="preserve">, whom Allix tries to bring into his argument, does not deny blood in letter 205, but wants blood without corruption: “I think there is no doubt,” he says at no. 15, “according to this saying: </w:t>
      </w:r>
      <w:r>
        <w:rPr>
          <w:i/>
        </w:rPr>
        <w:t>Flesh and blood shall not inherit the kingdom of God</w:t>
      </w:r>
      <w:r>
        <w:t xml:space="preserve">, because there will be no corruption and mortality of flesh and blood there. For according to these qualities, flesh and blood are named here.” Soon after, Athenagoras says the same about flesh, namely that even if food contrary to nature is digested so as to reach the flesh, it will not be difficult to explain; </w:t>
      </w:r>
      <w:r>
        <w:rPr>
          <w:i/>
        </w:rPr>
        <w:t>since neither does the flesh that takes it in always keep what it took in, nor does what was eaten remain constantly where it entered, but it undergoes much change into different forms</w:t>
      </w:r>
      <w:r>
        <w:t>, no. 7. Who then would conclude from this that Athenagoras does not leave flesh in resurrected bodies? I will say no more about his opinion; it is enough to read what is said by him, no. 3, to show that our bodies will be called back to life after dissolution by the same power with which they were first formed by God.</w:t>
      </w:r>
    </w:p>
    <w:p w14:paraId="09C8AB52" w14:textId="77777777" w:rsidR="005C2B3E" w:rsidRDefault="00000000">
      <w:pPr>
        <w:pStyle w:val="Heading3"/>
      </w:pPr>
      <w:r>
        <w:lastRenderedPageBreak/>
        <w:t>CHAPTER 10</w:t>
      </w:r>
    </w:p>
    <w:p w14:paraId="7261143F" w14:textId="77777777" w:rsidR="005C2B3E" w:rsidRDefault="00000000">
      <w:pPr>
        <w:pStyle w:val="Heading4"/>
      </w:pPr>
      <w:r>
        <w:t>THE EUCHARIST AS A TRUE AND PROPER SACRIFICE, WHOSE DESCRIPTION BY JUSTIN IS CONSIDERED</w:t>
      </w:r>
    </w:p>
    <w:p w14:paraId="11529C37" w14:textId="77777777" w:rsidR="005C2B3E" w:rsidRDefault="00000000">
      <w:pPr>
        <w:spacing w:before="180" w:after="0"/>
        <w:ind w:left="720" w:right="320" w:hanging="360"/>
      </w:pPr>
      <w:r>
        <w:t>Justin</w:t>
      </w:r>
      <w:r>
        <w:fldChar w:fldCharType="begin"/>
      </w:r>
      <w:r>
        <w:instrText xml:space="preserve"> XE "Justin" \f "Persons"</w:instrText>
      </w:r>
      <w:r>
        <w:fldChar w:fldCharType="end"/>
      </w:r>
      <w:r>
        <w:t xml:space="preserve"> demonstrates the truth of religion from the true sacrifice. II. The testimonies objected to by Pfaffius are defended. III. Observations on the liturgy explained by the holy martyr, and first about baptism. IV. About the place of assembly and the first part of the liturgy. V. About the second part of the liturgy and the prayers, both common and extended. VI. About the sacred communion and the duties of the deacons, the words of Justin are explained.</w:t>
      </w:r>
    </w:p>
    <w:p w14:paraId="293FB00A" w14:textId="77777777" w:rsidR="005C2B3E" w:rsidRDefault="00000000">
      <w:r>
        <w:t>I. The change of bread and wine into the flesh and blood of Christ, as established by Justin</w:t>
      </w:r>
      <w:r>
        <w:fldChar w:fldCharType="begin"/>
      </w:r>
      <w:r>
        <w:instrText xml:space="preserve"> XE "Justin" \f "Persons"</w:instrText>
      </w:r>
      <w:r>
        <w:fldChar w:fldCharType="end"/>
      </w:r>
      <w:r>
        <w:t>, now presents no difficulties related to the nature of sacrifice. For the reason why Lutherans and Calvinists denied that the Eucharist is a sacrifice was nothing else but that the former claimed Christ is not present at all in the Eucharist, and the latter that he is not present before the use of it. But if anyone admits that the passion of Christ is represented in the Eucharist in such a way that the very victim, which was once slain for us, is set present on the altar, he cannot doubt that Christ offers himself to his Father in this state in the hands of the priests: therefore it is not at all surprising that the holy martyr, who doubted no more whether the Eucharist is the flesh and blood of Christ than whether the Son of God is incarnate, praises the sacrifice of Christians in so many places.</w:t>
      </w:r>
    </w:p>
    <w:p w14:paraId="0B51431B" w14:textId="77777777" w:rsidR="005C2B3E" w:rsidRDefault="00000000">
      <w:pPr>
        <w:ind w:firstLine="360"/>
      </w:pPr>
      <w:r>
        <w:t xml:space="preserve">He demonstrates the excellence of the Christian religion against the Jews from the excellence of our sacrifice. “Similar,” he says, </w:t>
      </w:r>
      <w:r>
        <w:rPr>
          <w:i/>
        </w:rPr>
        <w:t>Dialogue</w:t>
      </w:r>
      <w:r>
        <w:t xml:space="preserve"> no. 41, “was the offering established for those who were cleansed from leprosy, a symbol of the bread of the Eucharist, which our Lord Jesus Christ commanded to be received in memory of his passion for those who are cleansed from all wickedness; so that we may give thanks to God both because he created the world and all things in it for man, and because he has freed us from the evil in which we were, and has utterly destroyed principalities and powers through him who was made passible by his will. As for the sacrifices which were then offered by you, God speaks through Malachi, as I have already said, one of the twelve: 'My will is not in you,' says the Lord, 'and I will not accept sacrifices from your hands, because from the rising of the sun to its setting my name is glorified among the nations; and in every place incense is offered to my name and a pure victim, for my name is great among the nations,' says the Lord. But concerning those sacrifices which are offered by us everywhere, that is, the bread of the Eucharist and the cup likewise of the Eucharist, he already foretells, adding also that his name is glorified by us but profaned by you.”</w:t>
      </w:r>
    </w:p>
    <w:p w14:paraId="4788239F" w14:textId="77777777" w:rsidR="005C2B3E" w:rsidRDefault="00000000">
      <w:pPr>
        <w:ind w:firstLine="360"/>
      </w:pPr>
      <w:r>
        <w:lastRenderedPageBreak/>
        <w:t>In this testimony, the first thing to note is that the Jewish offerings were a shadow and image of the sacrifice of Christians; that this sacrifice is pure and accepted by God, and was foretold by God through the prophet Malachi</w:t>
      </w:r>
      <w:r>
        <w:fldChar w:fldCharType="begin"/>
      </w:r>
      <w:r>
        <w:instrText xml:space="preserve"> XE "Malachi" \f "Persons"</w:instrText>
      </w:r>
      <w:r>
        <w:fldChar w:fldCharType="end"/>
      </w:r>
      <w:r>
        <w:t>. Who then would doubt that the true sacrifice is the one which had to be both foreshadowed by the figures of the Old Testament and clearly and openly foretold by the oracles of the prophets?</w:t>
      </w:r>
    </w:p>
    <w:p w14:paraId="4CCB692C" w14:textId="77777777" w:rsidR="005C2B3E" w:rsidRDefault="00000000">
      <w:pPr>
        <w:ind w:firstLine="360"/>
      </w:pPr>
      <w:r>
        <w:t xml:space="preserve">Secondly, with these words he calls the sacrifice of Christians the bread of the Eucharist and the cup of the Eucharist. </w:t>
      </w:r>
      <w:r>
        <w:rPr>
          <w:i/>
        </w:rPr>
        <w:t>But concerning those sacrifices which are offered by us everywhere, that is, the bread of the Eucharist and the cup likewise of the Eucharist</w:t>
      </w:r>
      <w:r>
        <w:t>, etc. What the bread and cup of the Eucharist are we have seen above, where Justin</w:t>
      </w:r>
      <w:r>
        <w:fldChar w:fldCharType="begin"/>
      </w:r>
      <w:r>
        <w:instrText xml:space="preserve"> XE "Justin" \f "Persons"</w:instrText>
      </w:r>
      <w:r>
        <w:fldChar w:fldCharType="end"/>
      </w:r>
      <w:r>
        <w:t xml:space="preserve"> teaches that the εὐχαριστηθεῖσα food is </w:t>
      </w:r>
      <w:r>
        <w:rPr>
          <w:i/>
        </w:rPr>
        <w:t>the flesh and blood of that incarnate Jesus</w:t>
      </w:r>
      <w:r>
        <w:t>. Therefore, the sacrifice of Christians is the flesh and blood of the incarnate Jesus, which are offered to God.</w:t>
      </w:r>
    </w:p>
    <w:p w14:paraId="328E91BB" w14:textId="77777777" w:rsidR="005C2B3E" w:rsidRDefault="00000000">
      <w:pPr>
        <w:ind w:firstLine="360"/>
      </w:pPr>
      <w:r>
        <w:t xml:space="preserve">Thirdly, </w:t>
      </w:r>
      <w:r>
        <w:rPr>
          <w:i/>
        </w:rPr>
        <w:t>Our Lord Jesus Christ commanded the bread of the Eucharist to be made in memory of his passion</w:t>
      </w:r>
      <w:r>
        <w:t xml:space="preserve">. From this, also at no. 117, the holy martyr declares that Christians in this sacrifice </w:t>
      </w:r>
      <w:r>
        <w:rPr>
          <w:i/>
        </w:rPr>
        <w:t>remember that passion which the Son of God suffered for them</w:t>
      </w:r>
      <w:r>
        <w:t>. But how is the Lord’s passion represented in this sacrifice? It is very easy to learn from Justin</w:t>
      </w:r>
      <w:r>
        <w:fldChar w:fldCharType="begin"/>
      </w:r>
      <w:r>
        <w:instrText xml:space="preserve"> XE "Justin" \f "Persons"</w:instrText>
      </w:r>
      <w:r>
        <w:fldChar w:fldCharType="end"/>
      </w:r>
      <w:r>
        <w:t xml:space="preserve">. For in the passage we quoted above from the greater </w:t>
      </w:r>
      <w:r>
        <w:rPr>
          <w:i/>
        </w:rPr>
        <w:t>Apology</w:t>
      </w:r>
      <w:r>
        <w:t>, after he said that the food is consecrated as the flesh and blood of the incarnate Jesus, he adds that the apostles handed down this command from Christ to do this in his remembrance. Therefore, the holy martyr believed that the passion of the Lord is represented in the Eucharist, since his flesh and blood, by the words pronounced by him, are placed on the altar and offered to God.</w:t>
      </w:r>
    </w:p>
    <w:p w14:paraId="2279771F" w14:textId="77777777" w:rsidR="005C2B3E" w:rsidRDefault="00000000">
      <w:pPr>
        <w:ind w:firstLine="360"/>
      </w:pPr>
      <w:r>
        <w:t xml:space="preserve">From these things, the opinion of Pfaffius, a very learned man among the Lutherans, is easily refuted, but who in vain seeks support for his sect from the holy Fathers in the dissertation </w:t>
      </w:r>
      <w:r>
        <w:rPr>
          <w:i/>
        </w:rPr>
        <w:t>De oblatione veterum eucharistica</w:t>
      </w:r>
      <w:r>
        <w:t>, where, at no. 27, he interprets Justin</w:t>
      </w:r>
      <w:r>
        <w:fldChar w:fldCharType="begin"/>
      </w:r>
      <w:r>
        <w:instrText xml:space="preserve"> XE "Justin" \f "Persons"</w:instrText>
      </w:r>
      <w:r>
        <w:fldChar w:fldCharType="end"/>
      </w:r>
      <w:r>
        <w:t xml:space="preserve"> in such a way as if in his testimonies either the offering of the laity alone made to the bishop, not to God, or the offering of the priests preceding consecration, is implied.</w:t>
      </w:r>
    </w:p>
    <w:p w14:paraId="28DB9EFA" w14:textId="77777777" w:rsidR="005C2B3E" w:rsidRDefault="00000000">
      <w:pPr>
        <w:ind w:firstLine="360"/>
      </w:pPr>
      <w:r>
        <w:t>But this interpretation is very far from the mind of Justin</w:t>
      </w:r>
      <w:r>
        <w:fldChar w:fldCharType="begin"/>
      </w:r>
      <w:r>
        <w:instrText xml:space="preserve"> XE "Justin" \f "Persons"</w:instrText>
      </w:r>
      <w:r>
        <w:fldChar w:fldCharType="end"/>
      </w:r>
      <w:r>
        <w:t>. For neither the offering of the laity made to the priest, nor the priestly offering before consecration, are called the victim and sacrifice of Christians by Justin, nor do they represent the passion of Christ; rather, the bread of the Eucharist and the cup of the Eucharist, that is, as Justin himself explains, the flesh and blood of the incarnate Jesus, are the victim and sacrifice of Christians and are made by the command of Christ to celebrate the memory of that passion.</w:t>
      </w:r>
    </w:p>
    <w:p w14:paraId="0C6EB7F0" w14:textId="77777777" w:rsidR="005C2B3E" w:rsidRDefault="00000000">
      <w:pPr>
        <w:ind w:firstLine="360"/>
      </w:pPr>
      <w:r>
        <w:t xml:space="preserve">He does no better with another testimony from the </w:t>
      </w:r>
      <w:r>
        <w:rPr>
          <w:i/>
        </w:rPr>
        <w:t>Dialogue</w:t>
      </w:r>
      <w:r>
        <w:t>, no. 117, where Justin</w:t>
      </w:r>
      <w:r>
        <w:fldChar w:fldCharType="begin"/>
      </w:r>
      <w:r>
        <w:instrText xml:space="preserve"> XE "Justin" \f "Persons"</w:instrText>
      </w:r>
      <w:r>
        <w:fldChar w:fldCharType="end"/>
      </w:r>
      <w:r>
        <w:t xml:space="preserve"> says: “Indeed, I admit that prayers and thanksgivings, which are offered worthily, alone </w:t>
      </w:r>
      <w:r>
        <w:lastRenderedPageBreak/>
        <w:t xml:space="preserve">are perfect and acceptable sacrifices to God. And Christians have learned to do only these, since through their dry and liquid food they also celebrate the memory of that passion which the Son of God suffered for them.” From these, the learned man concludes two things: 1º </w:t>
      </w:r>
      <w:r>
        <w:rPr>
          <w:i/>
        </w:rPr>
        <w:t>The Eucharistic offering is not proper or perfect, since only prayers deserve this name.</w:t>
      </w:r>
      <w:r>
        <w:t xml:space="preserve"> 2º *It was neither commanded nor enjoined by the Lord and the apostles.*</w:t>
      </w:r>
    </w:p>
    <w:p w14:paraId="0E9320DF" w14:textId="77777777" w:rsidR="005C2B3E" w:rsidRDefault="00000000">
      <w:pPr>
        <w:ind w:firstLine="360"/>
      </w:pPr>
      <w:r>
        <w:t>Pfaffius</w:t>
      </w:r>
      <w:r>
        <w:fldChar w:fldCharType="begin"/>
      </w:r>
      <w:r>
        <w:instrText xml:space="preserve"> XE "Pfaffius" \f "Persons"</w:instrText>
      </w:r>
      <w:r>
        <w:fldChar w:fldCharType="end"/>
      </w:r>
      <w:r>
        <w:t xml:space="preserve"> always plays on ambiguity and understands the Eucharistic offering as that which is made either by the laity to the priest, or by the priest himself before consecration. But dry and liquid food, through which the memory of the Lord’s passion is celebrated, can be nothing else, as has been sufficiently shown, than the flesh and blood of the incarnate Jesus. Yet, so that Pfaffius does not force upon us the idea that only prayers deserve the name of sacrifice, Justin</w:t>
      </w:r>
      <w:r>
        <w:fldChar w:fldCharType="begin"/>
      </w:r>
      <w:r>
        <w:instrText xml:space="preserve"> XE "Justin" \f "Persons"</w:instrText>
      </w:r>
      <w:r>
        <w:fldChar w:fldCharType="end"/>
      </w:r>
      <w:r>
        <w:t>’s meaning must be explained in a few words.</w:t>
      </w:r>
    </w:p>
    <w:p w14:paraId="3D60C4B5" w14:textId="77777777" w:rsidR="005C2B3E" w:rsidRDefault="00000000">
      <w:pPr>
        <w:ind w:firstLine="360"/>
      </w:pPr>
      <w:r>
        <w:t>II. The distinguished Pfaffius</w:t>
      </w:r>
      <w:r>
        <w:fldChar w:fldCharType="begin"/>
      </w:r>
      <w:r>
        <w:instrText xml:space="preserve"> XE "Pfaffius" \f "Persons"</w:instrText>
      </w:r>
      <w:r>
        <w:fldChar w:fldCharType="end"/>
      </w:r>
      <w:r>
        <w:t xml:space="preserve"> did not notice what was proposed to Justin</w:t>
      </w:r>
      <w:r>
        <w:fldChar w:fldCharType="begin"/>
      </w:r>
      <w:r>
        <w:instrText xml:space="preserve"> XE "Justin" \f "Persons"</w:instrText>
      </w:r>
      <w:r>
        <w:fldChar w:fldCharType="end"/>
      </w:r>
      <w:r>
        <w:t>. 1º He used the holy martyr as an argument especially suited to refute the Jews, and from the prophecy of Malachi he showed that they had fallen away from the possession of the true religion because their sacrifices were rejected, but Christians, whose sacrifice is commended by God himself, are a priestly people. The Jews, to evade this argument, used to interpret Malachi in this way, as Justin also testifies in the same place: that sacrifices of those who lived in Jerusalem were rejected by God; but the prayers of those who were scattered among the Gentiles were accepted by God and therefore called sacrifices. Therefore, only the Jews maintain that prayers and thanksgivings alone, even without an external sacrifice, suffice for true religion and true sacrifice. But Justin’s opinion opposes them, who in this very place objects to them the external sacrifice of Christians, in which the memory of the Lord’s passion is celebrated under the appearances of bread and wine. 2º When he grants that prayers and thanksgivings alone are perfect and acceptable sacrifices to God, he does not do this with the intention of excluding the offering of an external thing, but because he knew that prayers and thanksgivings must be joined with this offering; otherwise, the sacrifice would not be perfect, nor would any honor come to God from us. By a similar reasoning, Clement of Alexandria</w:t>
      </w:r>
      <w:r>
        <w:fldChar w:fldCharType="begin"/>
      </w:r>
      <w:r>
        <w:instrText xml:space="preserve"> XE "Clement of Alexandria" \f "Persons"</w:instrText>
      </w:r>
      <w:r>
        <w:fldChar w:fldCharType="end"/>
      </w:r>
      <w:r>
        <w:t xml:space="preserve">, </w:t>
      </w:r>
      <w:r>
        <w:rPr>
          <w:i/>
        </w:rPr>
        <w:t>Stromata</w:t>
      </w:r>
      <w:r>
        <w:t>, iv, p. 481, grants to heretics, who disparaged martyrdom, that true martyrdom is placed in the knowledge of God: Τινὲς δὲ τῶν αἱρετικῶν, τοῦ Κυρίου παρακηκοότες, ἀσεβῶς ἅμα καὶ δειλῶς φιλοζωοῦσι, μαρτυρίαν λέγοντες ἀληθῆ εἷναι τὴν τοῦ ὄντως ὄντος γνῶσιν Θεοῦ. Ὥσπερ καὶ ἡμεῖς ὀμολογοῦμεν. “Some heretics, having misunderstood the Lord, live impiously and cowardly, saying that the true testimony is the knowledge of the one who truly is God: which indeed we also confess.”</w:t>
      </w:r>
    </w:p>
    <w:p w14:paraId="44672859" w14:textId="77777777" w:rsidR="005C2B3E" w:rsidRDefault="00000000">
      <w:pPr>
        <w:ind w:firstLine="360"/>
      </w:pPr>
      <w:r>
        <w:lastRenderedPageBreak/>
        <w:t xml:space="preserve">3º He calls the eucharistic bread a sacrifice with the words already mentioned, no. 41, and distinguishes it from the prayers by which it is consecrated, </w:t>
      </w:r>
      <w:r>
        <w:rPr>
          <w:i/>
        </w:rPr>
        <w:t>Apology</w:t>
      </w:r>
      <w:r>
        <w:t xml:space="preserve"> 1, no. 66.</w:t>
      </w:r>
    </w:p>
    <w:p w14:paraId="4483BAF2" w14:textId="77777777" w:rsidR="005C2B3E" w:rsidRDefault="00000000">
      <w:pPr>
        <w:ind w:firstLine="360"/>
      </w:pPr>
      <w:r>
        <w:t xml:space="preserve">4º Those prayers which Christians have learned to make in celebrating the memory of the Lord’s passion are nothing else than the offering of the body and blood of the Lord for the living and the dead, as is seen in the very ancient liturgy in book viii of the </w:t>
      </w:r>
      <w:r>
        <w:rPr>
          <w:i/>
        </w:rPr>
        <w:t>Constitutions of the Apostles</w:t>
      </w:r>
      <w:r>
        <w:t>, and one very similar to it which Justin</w:t>
      </w:r>
      <w:r>
        <w:fldChar w:fldCharType="begin"/>
      </w:r>
      <w:r>
        <w:instrText xml:space="preserve"> XE "Justin" \f "Persons"</w:instrText>
      </w:r>
      <w:r>
        <w:fldChar w:fldCharType="end"/>
      </w:r>
      <w:r>
        <w:t xml:space="preserve"> describes in </w:t>
      </w:r>
      <w:r>
        <w:rPr>
          <w:i/>
        </w:rPr>
        <w:t>Apology</w:t>
      </w:r>
      <w:r>
        <w:t xml:space="preserve"> 1. Thus they have prayers that are poured out after the consecration: Προσφέρομέν σοι, </w:t>
      </w:r>
      <w:r>
        <w:rPr>
          <w:i/>
        </w:rPr>
        <w:t>We offer to you for this people</w:t>
      </w:r>
      <w:r>
        <w:t xml:space="preserve">, etc. Certainly, the prayers mentioned by Justin in all the offerings for obtaining eternal life are no different. </w:t>
      </w:r>
      <w:r>
        <w:rPr>
          <w:i/>
        </w:rPr>
        <w:t>Apology</w:t>
      </w:r>
      <w:r>
        <w:t xml:space="preserve"> 1, no. 66.</w:t>
      </w:r>
    </w:p>
    <w:p w14:paraId="0CA79CE0" w14:textId="77777777" w:rsidR="005C2B3E" w:rsidRDefault="00000000">
      <w:pPr>
        <w:ind w:firstLine="360"/>
      </w:pPr>
      <w:r>
        <w:t>III. I think I will do something pleasing to readers if I explain to their eyes the description of the venerable Christian sacrifice, as it is briefly outlined by Justin</w:t>
      </w:r>
      <w:r>
        <w:fldChar w:fldCharType="begin"/>
      </w:r>
      <w:r>
        <w:instrText xml:space="preserve"> XE "Justin" \f "Persons"</w:instrText>
      </w:r>
      <w:r>
        <w:fldChar w:fldCharType="end"/>
      </w:r>
      <w:r>
        <w:t xml:space="preserve"> near the end of </w:t>
      </w:r>
      <w:r>
        <w:rPr>
          <w:i/>
        </w:rPr>
        <w:t>Apology</w:t>
      </w:r>
      <w:r>
        <w:t xml:space="preserve"> 1. It begins with baptism. “How we have been consecrated to God,” he says, </w:t>
      </w:r>
      <w:r>
        <w:rPr>
          <w:i/>
        </w:rPr>
        <w:t>Apology</w:t>
      </w:r>
      <w:r>
        <w:t xml:space="preserve"> 1, no. 61, “renewed through Christ, we will also explain, so that we do not seem to act improperly by leaving this out in explaining things. Whoever has been convinced and believed that what is taught and said by us is true, and has promised to live accordingly, they are taught to pray and fast, asking God for forgiveness of past sins, with us praying and fasting together. Then they are led by us to where there is water, and are regenerated in the same way of regeneration by which we ourselves were regenerated. For in the name of the Father of all, and the Lord God and our Savior Jesus Christ, and the Holy Spirit, they then receive the washing in water.” It seems that Justin is not only indicating the precepts of belief and living that were given daily to catechumens, but especially those which were joined with baptism itself, namely the questions and answers, renunciations, and profession of faith. Justin confirms this, no. 65. Those very words, “Then they are led by us to where there is water,” do not allow any other suspicion. From this it is also clear that all these things were usually carried out in the church itself before the one to be baptized was led to the sacred font. Thus, the fasts mentioned here closely precede baptism itself, and are observed together with baptism by other Christians, such as the fast which Peter</w:t>
      </w:r>
      <w:r>
        <w:fldChar w:fldCharType="begin"/>
      </w:r>
      <w:r>
        <w:instrText xml:space="preserve"> XE "Peter" \f "Persons"</w:instrText>
      </w:r>
      <w:r>
        <w:fldChar w:fldCharType="end"/>
      </w:r>
      <w:r>
        <w:t xml:space="preserve"> prescribed the day before baptism in Clementine Homily 13, no. 12. See </w:t>
      </w:r>
      <w:r>
        <w:rPr>
          <w:i/>
        </w:rPr>
        <w:t>Constitutions of the Apostles</w:t>
      </w:r>
      <w:r>
        <w:t>, book vii, chapter 22.</w:t>
      </w:r>
    </w:p>
    <w:p w14:paraId="1539F161" w14:textId="77777777" w:rsidR="005C2B3E" w:rsidRDefault="00000000">
      <w:pPr>
        <w:ind w:firstLine="360"/>
      </w:pPr>
      <w:r>
        <w:t>Justin</w:t>
      </w:r>
      <w:r>
        <w:fldChar w:fldCharType="begin"/>
      </w:r>
      <w:r>
        <w:instrText xml:space="preserve"> XE "Justin" \f "Persons"</w:instrText>
      </w:r>
      <w:r>
        <w:fldChar w:fldCharType="end"/>
      </w:r>
      <w:r>
        <w:t xml:space="preserve"> says nothing here about the sacrament of confirmation; nor is this surprising. He was not writing to Catholics, but addressing pagan emperors, among whom the announcement of this matter was least necessary. Then Justin describes baptism in the way he himself (for it is no slight guess that Justin was a presbyter) was accustomed to administer it; namely, without confirmation, which was reserved for bishops. Often presbyters had occasions to baptize, and catechumens, eager with fervent piety, did not wait for the solemn days of baptism. Hence Tertullian</w:t>
      </w:r>
      <w:r>
        <w:fldChar w:fldCharType="begin"/>
      </w:r>
      <w:r>
        <w:instrText xml:space="preserve"> XE "Tertullian" \f "Persons"</w:instrText>
      </w:r>
      <w:r>
        <w:fldChar w:fldCharType="end"/>
      </w:r>
      <w:r>
        <w:t xml:space="preserve"> in book </w:t>
      </w:r>
      <w:r>
        <w:rPr>
          <w:i/>
        </w:rPr>
        <w:lastRenderedPageBreak/>
        <w:t>On Baptism</w:t>
      </w:r>
      <w:r>
        <w:t>, chapter 19: “Moreover, every day is the Lord’s day, every hour, every time is suitable for baptism: if the solemnity matters, grace does not matter.”</w:t>
      </w:r>
    </w:p>
    <w:p w14:paraId="6AEDCBF6" w14:textId="77777777" w:rsidR="005C2B3E" w:rsidRDefault="00000000">
      <w:pPr>
        <w:ind w:firstLine="360"/>
      </w:pPr>
      <w:r>
        <w:t>IV. It is not necessary to remind what everyone clearly understands, that baptism was usually given after the catechumens and penitents were dismissed. For, as is clear from the testimony we will soon relate, whoever had been baptized was immediately led to the church, and the prayers of the liturgy were said. The assemblies in which baptism was not given are briefly described in no. 67: Τᾖ τοῦ ἠλίου λεγομένῃ ἡμέρᾳ πάντων κατὰ πόλεις ἢ ἀγροὺς μενόντων ἐπὶ τὸ αὐτὸ συνέλευσις γίνεται, καὶ τὰ ἀπομνημονεύματα τῶν ἀποστόλων, ἢ τὰ συγγράμματα τῶν προφητῶν ἀναγινώσκεται μέχρις ἐγχωρεῖ. Εἶτα παυσαμένου τοῦ ἀναγινώσκοντος, ὁ προεστὼς διὰ λόγου τὴν νουθεσίαν καὶ πρόκλησιν τῆς τῶν καλῶν τούτων μιμήσεως ποιεῖται. Ἔπειτα ἀνιστάμεθα κοινῇ πάντες, καὶ εὐχὰς πέμπομεν· καὶ, ὡς προέφημεν, παυσαμένων ἡμῶν τῆς εὐχῆς, ἄρτος προσφέρεται καὶ οἷνος καὶ ὕδωρ, καὶ ὁ προεστὼς εὐχὰς ὁμοίως καὶ εὐχαριστίας, ὅση δύναμις αὐτῷ, ἀναπέμπει, καὶ ὁ λαὸς ἐπευφημεῖ λέγων τὸ Ἀμήν· καὶ ἡ διάδοσις καὶ ἡ μετάληψις ἀπὸ τῶν εὐχαριστηθέντων ἑκάστῳ γίνεται, καὶ τοῖς οὐ παροῦσι διὰ τῶν διακόνων πέμπεται.</w:t>
      </w:r>
    </w:p>
    <w:p w14:paraId="3FB67F46" w14:textId="77777777" w:rsidR="005C2B3E" w:rsidRDefault="00000000">
      <w:pPr>
        <w:ind w:firstLine="360"/>
      </w:pPr>
      <w:r>
        <w:t>“On the day called Sunday, a gathering of all, whether living in cities or countryside, is made in the same place, and the memoirs of the apostles or the writings of the prophets are read as long as time allows. Then, when the reader has stopped, the one who presides gives instruction and encouragement by word to imitate these good things. Afterwards, we all stand together and send up prayers; and, as we said before, when we have finished praying, bread is offered along with wine and water, and the one who presides sends up prayers and thanksgivings with all his power, and the people shout in approval saying 'Amen'; and the distribution and sharing of what has been blessed is made to each one present, and to those not present it is sent through the deacons.”</w:t>
      </w:r>
    </w:p>
    <w:p w14:paraId="573D7147" w14:textId="77777777" w:rsidR="005C2B3E" w:rsidRDefault="00000000">
      <w:pPr>
        <w:ind w:firstLine="360"/>
      </w:pPr>
      <w:r>
        <w:t xml:space="preserve">This liturgy is very similar to that which is found in the </w:t>
      </w:r>
      <w:r>
        <w:rPr>
          <w:i/>
        </w:rPr>
        <w:t>Apostolic Constitutions</w:t>
      </w:r>
      <w:r>
        <w:t>, book viii, and whatever is explained there in detail, Justin indicates briefly.</w:t>
      </w:r>
    </w:p>
    <w:p w14:paraId="6B2F8A41" w14:textId="77777777" w:rsidR="005C2B3E" w:rsidRDefault="00000000">
      <w:pPr>
        <w:ind w:firstLine="360"/>
      </w:pPr>
      <w:r>
        <w:t xml:space="preserve">That “gathering of all, whether living in cities or countryside, in the same place” is to be understood with some exceptions. For where persecution was severe, this could not happen; hence, when asked by the prefect </w:t>
      </w:r>
      <w:r>
        <w:rPr>
          <w:i/>
        </w:rPr>
        <w:t>to what place the Christians gathered</w:t>
      </w:r>
      <w:r>
        <w:t>, Justin</w:t>
      </w:r>
      <w:r>
        <w:fldChar w:fldCharType="begin"/>
      </w:r>
      <w:r>
        <w:instrText xml:space="preserve"> XE "Justin" \f "Persons"</w:instrText>
      </w:r>
      <w:r>
        <w:fldChar w:fldCharType="end"/>
      </w:r>
      <w:r>
        <w:t xml:space="preserve"> answers </w:t>
      </w:r>
      <w:r>
        <w:rPr>
          <w:i/>
        </w:rPr>
        <w:t>that each one gathered where he wished or could</w:t>
      </w:r>
      <w:r>
        <w:t xml:space="preserve">. “Do you think,” he says, “that we all used to gather in the same place? By no means is this the case.” Moreover, in large cities one place could not hold all Christians. Indeed, in Rome there seem to have been several churches where, for the convenience of those who came from the East to Rome, the liturgy was celebrated according to the Greek rite and in the Greek language. For when asked by the prefect, as we have just seen, Justin declares that he stayed </w:t>
      </w:r>
      <w:r>
        <w:rPr>
          <w:i/>
        </w:rPr>
        <w:t xml:space="preserve">near the house of a certain Martin by the bath called Timiotinus, and </w:t>
      </w:r>
      <w:r>
        <w:rPr>
          <w:i/>
        </w:rPr>
        <w:lastRenderedPageBreak/>
        <w:t>during the whole time</w:t>
      </w:r>
      <w:r>
        <w:t xml:space="preserve"> he spent in Rome, </w:t>
      </w:r>
      <w:r>
        <w:rPr>
          <w:i/>
        </w:rPr>
        <w:t>he did not know another place of gathering</w:t>
      </w:r>
      <w:r>
        <w:t xml:space="preserve">. Therefore, in this house the mysteries used to be celebrated, and that according to the Greek Church’s rite and language; likely celebrated by Justin himself. And I think this is the reason why the liturgy explained by the holy martyr is not similar to the Roman one, but to that found in the </w:t>
      </w:r>
      <w:r>
        <w:rPr>
          <w:i/>
        </w:rPr>
        <w:t>Apostolic Constitutions</w:t>
      </w:r>
      <w:r>
        <w:t xml:space="preserve">. Those who were arrested with Justin and condemned to death seem to have had Justin as the guide of their souls and to have come to Rome from those regions where the Greek language flourished. For the prefect asks whether Justin had not made them Christians. Evelpistus says that he was </w:t>
      </w:r>
      <w:r>
        <w:rPr>
          <w:i/>
        </w:rPr>
        <w:t>accustomed to listen to Justin’s words with great pleasure</w:t>
      </w:r>
      <w:r>
        <w:t>. He had come to Rome from Cappadocia, Hierax from Iconium.</w:t>
      </w:r>
    </w:p>
    <w:p w14:paraId="19D7DB2C" w14:textId="77777777" w:rsidR="005C2B3E" w:rsidRDefault="00000000">
      <w:pPr>
        <w:ind w:firstLine="360"/>
      </w:pPr>
      <w:r>
        <w:t xml:space="preserve">The Scriptures of the Old and New Testament were read, and, as prescribed in book ii, chapter 57, of the same </w:t>
      </w:r>
      <w:r>
        <w:rPr>
          <w:i/>
        </w:rPr>
        <w:t>Constitutions</w:t>
      </w:r>
      <w:r>
        <w:t>, each presbyter encouraged the people, and finally the bishop. Justin</w:t>
      </w:r>
      <w:r>
        <w:fldChar w:fldCharType="begin"/>
      </w:r>
      <w:r>
        <w:instrText xml:space="preserve"> XE "Justin" \f "Persons"</w:instrText>
      </w:r>
      <w:r>
        <w:fldChar w:fldCharType="end"/>
      </w:r>
      <w:r>
        <w:t xml:space="preserve"> does not contradict this rule, who explains the highest points of things, and therefore says nothing about catechumens and penitents usually being dismissed, and moreover he describes that liturgy, which was suitable even for churches having only one presbyter; ὁ προεστώς, </w:t>
      </w:r>
      <w:r>
        <w:rPr>
          <w:i/>
        </w:rPr>
        <w:t>the one who presides</w:t>
      </w:r>
      <w:r>
        <w:t xml:space="preserve">, or </w:t>
      </w:r>
      <w:r>
        <w:rPr>
          <w:i/>
        </w:rPr>
        <w:t>presiding</w:t>
      </w:r>
      <w:r>
        <w:t xml:space="preserve"> often among the ancients designates the bishop, sometimes even presbyters are given this name, indeed the clergy in general are included, as can be seen in Eusebius,</w:t>
      </w:r>
      <w:r>
        <w:fldChar w:fldCharType="begin"/>
      </w:r>
      <w:r>
        <w:instrText xml:space="preserve"> XE "Eusebius," \f "Persons"</w:instrText>
      </w:r>
      <w:r>
        <w:fldChar w:fldCharType="end"/>
      </w:r>
      <w:r>
        <w:t xml:space="preserve"> </w:t>
      </w:r>
      <w:r>
        <w:rPr>
          <w:i/>
        </w:rPr>
        <w:t>Hist.</w:t>
      </w:r>
      <w:r>
        <w:t>, book viii, chapter 6.</w:t>
      </w:r>
    </w:p>
    <w:p w14:paraId="08FFEEB2" w14:textId="77777777" w:rsidR="005C2B3E" w:rsidRDefault="00000000">
      <w:pPr>
        <w:ind w:firstLine="360"/>
      </w:pPr>
      <w:r>
        <w:t>V. Justin</w:t>
      </w:r>
      <w:r>
        <w:fldChar w:fldCharType="begin"/>
      </w:r>
      <w:r>
        <w:instrText xml:space="preserve"> XE "Justin" \f "Persons"</w:instrText>
      </w:r>
      <w:r>
        <w:fldChar w:fldCharType="end"/>
      </w:r>
      <w:r>
        <w:fldChar w:fldCharType="begin"/>
      </w:r>
      <w:r>
        <w:instrText xml:space="preserve"> XE "V. Justin" \f "Persons"</w:instrText>
      </w:r>
      <w:r>
        <w:fldChar w:fldCharType="end"/>
      </w:r>
      <w:r>
        <w:t xml:space="preserve"> indicates the second part of the liturgy with these words: </w:t>
      </w:r>
      <w:r>
        <w:rPr>
          <w:i/>
        </w:rPr>
        <w:t>Afterwards we all stand up together and send up prayers.</w:t>
      </w:r>
      <w:r>
        <w:t xml:space="preserve"> Those prayers are called κηρύγματα, or sermons, in Basil</w:t>
      </w:r>
      <w:r>
        <w:fldChar w:fldCharType="begin"/>
      </w:r>
      <w:r>
        <w:instrText xml:space="preserve"> XE "Basil" \f "Persons"</w:instrText>
      </w:r>
      <w:r>
        <w:fldChar w:fldCharType="end"/>
      </w:r>
      <w:r>
        <w:t xml:space="preserve">’s epistle 155. They were announced by the deacon, as can be seen in book viii of the </w:t>
      </w:r>
      <w:r>
        <w:rPr>
          <w:i/>
        </w:rPr>
        <w:t>Apostolic Constitutions</w:t>
      </w:r>
      <w:r>
        <w:t xml:space="preserve">, where they are described in such a way that they can easily be recognized in Justin’s words in no. 65: “But after we have washed him who has testified to his faith and assent to our teaching, we lead him to those who are called brothers, where they are gathered, to offer common prayers both for ourselves and for the one who has been enlightened, and for all others everywhere, with attentive mind, so that having gained knowledge of the truth, we may also be worthy of this grace, and live rightly in works and keep the teachings, so that we may obtain eternal salvation.” Justin rightly says that these prayers are made </w:t>
      </w:r>
      <w:r>
        <w:rPr>
          <w:i/>
        </w:rPr>
        <w:t>for all others everywhere</w:t>
      </w:r>
      <w:r>
        <w:t xml:space="preserve">. For, as can be seen in book ii of the </w:t>
      </w:r>
      <w:r>
        <w:rPr>
          <w:i/>
        </w:rPr>
        <w:t>Constitutions</w:t>
      </w:r>
      <w:r>
        <w:t xml:space="preserve">, chapter 57, they prayed </w:t>
      </w:r>
      <w:r>
        <w:rPr>
          <w:i/>
        </w:rPr>
        <w:t>for the whole Church, for the whole world and its parts, and for the fruits of the earth, for priests and rulers, for the high priest, for the king and universal peace.</w:t>
      </w:r>
      <w:r>
        <w:t xml:space="preserve"> See more in book viii, chapter 11, and Basil’s epistle 155.</w:t>
      </w:r>
    </w:p>
    <w:p w14:paraId="5D74CF9F" w14:textId="77777777" w:rsidR="005C2B3E" w:rsidRDefault="00000000">
      <w:pPr>
        <w:ind w:firstLine="360"/>
      </w:pPr>
      <w:r>
        <w:t xml:space="preserve">The consecration of the eucharist, which is the chief part of the liturgy, is explained more fully in no. 65: Ἀλλήλους φιλήματι ἀσπαζόμεθα παυσάμενοι τῶν εὐχῶν. Ἔπειτα προσφέρεται τῷ προεστῶτι τῶν ἀδελφῶν ἄρτος, καὶ ποτήριον ὕδατος καὶ κράματος, καὶ οὗτος λαβὼν, αἶνον καὶ δόξαν τῷ Πατρὶ τῶν ὅλων διὰ τοῦ ὀνόματος </w:t>
      </w:r>
      <w:r>
        <w:lastRenderedPageBreak/>
        <w:t xml:space="preserve">τοῦ Υἱοῦ καὶ τοῦ Πνεύματος τοῦ ἁγίου ἀναπέμπει· καὶ εὐχαριστίαν ὑπὲρ τοῦ κατηξιῶσθαι τούτων παρʼ αὐτοῦ ἐπὶ πολὺ ποιεῖται. Οὗ συντελέσαντος τὰς εὐχὰς καὶ τὴν εὐχαριστίαν, πᾶς ὁ παρὼν λαὸς ἐπευφημεῖ λέγων, </w:t>
      </w:r>
      <w:r>
        <w:rPr>
          <w:b/>
        </w:rPr>
        <w:t>Ἀμήν.</w:t>
      </w:r>
      <w:r>
        <w:t xml:space="preserve"> Τὸ δὲ ἀμήν, τῇ Ἐβραίδι φωνῇ, τὸ </w:t>
      </w:r>
      <w:r>
        <w:rPr>
          <w:b/>
        </w:rPr>
        <w:t>γένοιτο</w:t>
      </w:r>
      <w:r>
        <w:t xml:space="preserve"> σημαίνει. Εὐχαριστήσαντος δὲ τοῦ προεστῶτος καὶ ἐπευφημήσαντος παντὸς τοῦ λαοῦ, οἱ καλούμενοι παρʼ ἡμῖν διάκονοι, διδόασιν ἑκάστῳ τῶν παρόντων μεταλαβεῖν ἀπὸ τοῦ εὐχαριστηθέντος ἄρτου καὶ οἴνου, καὶ ὕδατος, καὶ τοῖς οὐ παροῦσιν ἀποφέρουσι.</w:t>
      </w:r>
    </w:p>
    <w:p w14:paraId="654DE000" w14:textId="77777777" w:rsidR="005C2B3E" w:rsidRDefault="00000000">
      <w:pPr>
        <w:ind w:firstLine="360"/>
      </w:pPr>
      <w:r>
        <w:t xml:space="preserve">“We greet one another with a kiss, stopping our prayers. Then bread is brought to the one who presides over the brothers, and a cup of water and wine; and having taken these, he offers praise and glory to the Father of all through the name of the Son and the Holy Spirit, and gives thanks at length for these gifts received from him. When he has finished the prayers and thanksgiving, all the people present shout aloud, saying, </w:t>
      </w:r>
      <w:r>
        <w:rPr>
          <w:i/>
        </w:rPr>
        <w:t>Amen.</w:t>
      </w:r>
      <w:r>
        <w:t xml:space="preserve"> Amen in the Hebrew language means </w:t>
      </w:r>
      <w:r>
        <w:rPr>
          <w:i/>
        </w:rPr>
        <w:t>Let it be so.</w:t>
      </w:r>
      <w:r>
        <w:t xml:space="preserve"> After the one who presides has given thanks and the whole people have shouted, those called deacons among us distribute to each of those present to partake of the bread and wine and water for which thanks have been given, and carry some to those who are absent.”</w:t>
      </w:r>
    </w:p>
    <w:p w14:paraId="779746A6" w14:textId="77777777" w:rsidR="005C2B3E" w:rsidRDefault="00000000">
      <w:pPr>
        <w:ind w:firstLine="360"/>
      </w:pPr>
      <w:r>
        <w:t xml:space="preserve">It is not difficult to explain why Justin says the priest performs the eucharist </w:t>
      </w:r>
      <w:r>
        <w:rPr>
          <w:i/>
        </w:rPr>
        <w:t>at length</w:t>
      </w:r>
      <w:r>
        <w:t xml:space="preserve">. For this prayer was much longer than those that had gone before, as anyone can see with their own eyes in book viii of the </w:t>
      </w:r>
      <w:r>
        <w:rPr>
          <w:i/>
        </w:rPr>
        <w:t>Constitutions</w:t>
      </w:r>
      <w:r>
        <w:t xml:space="preserve">, chapter 12, and although it included many things both before and after the consecration, it was interrupted by no ministry of the deacons, by no admonition, nor did the people respond </w:t>
      </w:r>
      <w:r>
        <w:rPr>
          <w:i/>
        </w:rPr>
        <w:t>Amen</w:t>
      </w:r>
      <w:r>
        <w:t xml:space="preserve"> unless it was completely finished.</w:t>
      </w:r>
    </w:p>
    <w:p w14:paraId="017E48AB" w14:textId="77777777" w:rsidR="005C2B3E" w:rsidRDefault="00000000">
      <w:pPr>
        <w:ind w:firstLine="360"/>
      </w:pPr>
      <w:r>
        <w:t xml:space="preserve">Saint Firmilian indicates both prayers, that is, those said after the catechumens and penitents were dismissed, and those said at the consecration of the eucharist, in his letter among the </w:t>
      </w:r>
      <w:r>
        <w:rPr>
          <w:i/>
        </w:rPr>
        <w:t>Cyprianic</w:t>
      </w:r>
      <w:r>
        <w:t xml:space="preserve"> letters 75, where he speaks of a certain very wicked woman who arrogated prophecy to herself: “She also often dared to pretend to sanctify the bread and make eucharist by a not contemptible invocation, and to offer sacrifice to the Lord not without the sacrament of the usual preaching.”</w:t>
      </w:r>
    </w:p>
    <w:p w14:paraId="64B66D0F" w14:textId="77777777" w:rsidR="005C2B3E" w:rsidRDefault="00000000">
      <w:pPr>
        <w:ind w:firstLine="360"/>
      </w:pPr>
      <w:r>
        <w:t>That “not contemptible invocation” corresponds to the long prayers at the consecration of the eucharist; the “sacrament of the usual preaching” fits the common prayers, which I have already said Saint Basil calls sermons.</w:t>
      </w:r>
    </w:p>
    <w:p w14:paraId="4582C758" w14:textId="77777777" w:rsidR="005C2B3E" w:rsidRDefault="00000000">
      <w:pPr>
        <w:ind w:firstLine="360"/>
      </w:pPr>
      <w:r>
        <w:t>It seems a little harder to explain why Justin</w:t>
      </w:r>
      <w:r>
        <w:fldChar w:fldCharType="begin"/>
      </w:r>
      <w:r>
        <w:instrText xml:space="preserve"> XE "Justin" \f "Persons"</w:instrText>
      </w:r>
      <w:r>
        <w:fldChar w:fldCharType="end"/>
      </w:r>
      <w:r>
        <w:t xml:space="preserve"> calls those prayers </w:t>
      </w:r>
      <w:r>
        <w:rPr>
          <w:i/>
        </w:rPr>
        <w:t>common prayers</w:t>
      </w:r>
      <w:r>
        <w:t xml:space="preserve"> that were made after the catechumens and penitents were dismissed, and separates them by this term from those that belong to the consecration of the eucharist. For both kinds of prayers were commonly made in the name of the Church; the deacon invited the people to the common prayers and stirred up their attention of mind; but to the eucharistic prayers the priest himself said, </w:t>
      </w:r>
      <w:r>
        <w:rPr>
          <w:i/>
        </w:rPr>
        <w:t>Lift up your hearts.</w:t>
      </w:r>
      <w:r>
        <w:t xml:space="preserve"> I think the difference </w:t>
      </w:r>
      <w:r>
        <w:lastRenderedPageBreak/>
        <w:t>arose from the fact that the voice of the people was heard in the first kind of prayer, but only the priest’s voice in the other: hence Saint Dionysius of Alexandria</w:t>
      </w:r>
      <w:r>
        <w:fldChar w:fldCharType="begin"/>
      </w:r>
      <w:r>
        <w:instrText xml:space="preserve"> XE "Saint Dionysius of Alexandria" \f "Persons"</w:instrText>
      </w:r>
      <w:r>
        <w:fldChar w:fldCharType="end"/>
      </w:r>
      <w:r>
        <w:t xml:space="preserve"> says of a certain layman in Eusebius</w:t>
      </w:r>
      <w:r>
        <w:fldChar w:fldCharType="begin"/>
      </w:r>
      <w:r>
        <w:instrText xml:space="preserve"> XE "Eusebius" \f "Persons"</w:instrText>
      </w:r>
      <w:r>
        <w:fldChar w:fldCharType="end"/>
      </w:r>
      <w:r>
        <w:t xml:space="preserve">, book vii, chapter 9, that he often heard the eucharist, or thanksgiving, and responded </w:t>
      </w:r>
      <w:r>
        <w:rPr>
          <w:i/>
        </w:rPr>
        <w:t>Amen.</w:t>
      </w:r>
      <w:r>
        <w:t xml:space="preserve"> But there is another point which I think the holy martyr followed in observing this distinction. He knew that those prayers which he calls common were of such a kind that they did not necessarily require the priestly character; but the eucharistic prayers could not have any effect in any gathering unless they were celebrated by the one who was marked and sealed with this character.</w:t>
      </w:r>
    </w:p>
    <w:p w14:paraId="452659AE" w14:textId="77777777" w:rsidR="005C2B3E" w:rsidRDefault="00000000">
      <w:pPr>
        <w:ind w:firstLine="360"/>
      </w:pPr>
      <w:r>
        <w:t xml:space="preserve">VI. Concerning the holy communion, these words of Justin must not be passed over: “And this food among us is called eucharist, which no one is allowed to share in unless he believes that what we teach is true, and has been washed in that for the forgiveness of sins and rebirth by the bath, and lives in the way Christ handed down.” It seems that the holy martyr indicates not only the care and concern of the priests to keep the unworthy from communion, but also to pay attention to those things that happened just before communion, when the priest said: </w:t>
      </w:r>
      <w:r>
        <w:rPr>
          <w:i/>
        </w:rPr>
        <w:t>Holy to the holy</w:t>
      </w:r>
      <w:r>
        <w:t>, and the people responded: *One holy, one Lord Jesus Christ.*</w:t>
      </w:r>
    </w:p>
    <w:p w14:paraId="6B4B3276" w14:textId="77777777" w:rsidR="005C2B3E" w:rsidRDefault="00000000">
      <w:pPr>
        <w:ind w:firstLine="360"/>
      </w:pPr>
      <w:r>
        <w:t>Justin</w:t>
      </w:r>
      <w:r>
        <w:fldChar w:fldCharType="begin"/>
      </w:r>
      <w:r>
        <w:instrText xml:space="preserve"> XE "Justin" \f "Persons"</w:instrText>
      </w:r>
      <w:r>
        <w:fldChar w:fldCharType="end"/>
      </w:r>
      <w:r>
        <w:t xml:space="preserve"> increases the honor of the deacons greatly, if he testifies that both species, once consecrated, were distributed by them. This rite was not practiced in the Roman Church, nor in the Jerusalem Church, nor in the one to which the author who put forward the </w:t>
      </w:r>
      <w:r>
        <w:rPr>
          <w:i/>
        </w:rPr>
        <w:t>Constitutions</w:t>
      </w:r>
      <w:r>
        <w:t xml:space="preserve"> was attached. But the two places where Justin speaks about the distribution of the eucharist seem to be understood in such a way that the deacons carried the consecrated bread to the absent, and distributed the cup to those present, which will be found consistent with the custom of the Church. Certainly, the words of the holy martyr must be limited where he speaks of the absent, and it must be understood that only the consecrated bread is meant when he says: </w:t>
      </w:r>
      <w:r>
        <w:rPr>
          <w:i/>
        </w:rPr>
        <w:t>Those called deacons among us distribute to each of those present the bread, wine, and water in which thanks have been given, and carry some to those who are absent.</w:t>
      </w:r>
      <w:r>
        <w:t xml:space="preserve"> For only the consecrated bread was usually carried to the absent. In a similar way, what is said about those present must be limited; for they approached the altar and took the first species from the hand of the priest; the cup was distributed by the deacons. This conjunction of two words referring to different things was usual for Justin; we saw an example above in chapter 4, where we examined Justin’s testimony about angels. We have another example of this in the words of the </w:t>
      </w:r>
      <w:r>
        <w:rPr>
          <w:i/>
        </w:rPr>
        <w:t>Dialogue</w:t>
      </w:r>
      <w:r>
        <w:t>, no. 82: “Do not seek to attack the Scriptures and Christ with blasphemies or to interpret them wrongly.” Just as blasphemies are to be referred to Christ, and wrong interpretation to the Scriptures, so the same distinction must be applied to the duties of the deacons, so that they are said to have distributed the cup to those present, and to have carried the other species to the absent. Thus also Tertullian</w:t>
      </w:r>
      <w:r>
        <w:fldChar w:fldCharType="begin"/>
      </w:r>
      <w:r>
        <w:instrText xml:space="preserve"> XE "Tertullian" \f "Persons"</w:instrText>
      </w:r>
      <w:r>
        <w:fldChar w:fldCharType="end"/>
      </w:r>
      <w:r>
        <w:t xml:space="preserve"> says in </w:t>
      </w:r>
      <w:r>
        <w:rPr>
          <w:i/>
        </w:rPr>
        <w:t>On Modesty</w:t>
      </w:r>
      <w:r>
        <w:t xml:space="preserve">, chapter 1: </w:t>
      </w:r>
      <w:r>
        <w:rPr>
          <w:i/>
        </w:rPr>
        <w:t>Out of fear and hope of eternal fire and kingdom.</w:t>
      </w:r>
      <w:r>
        <w:t xml:space="preserve"> In another place Justin does not say that the eucharist was </w:t>
      </w:r>
      <w:r>
        <w:lastRenderedPageBreak/>
        <w:t>distributed to those present by the deacons, but only that it was carried to the absent, which is easily understood of the first species. For he says: “The distribution and sharing of those in whom thanks have been given is made to each of those present, and is sent to the absent by the deacons.” The examples brought by Valesius</w:t>
      </w:r>
      <w:r>
        <w:fldChar w:fldCharType="begin"/>
      </w:r>
      <w:r>
        <w:instrText xml:space="preserve"> XE "Valesius" \f "Persons"</w:instrText>
      </w:r>
      <w:r>
        <w:fldChar w:fldCharType="end"/>
      </w:r>
      <w:r>
        <w:t xml:space="preserve"> in the notes to Eusebius</w:t>
      </w:r>
      <w:r>
        <w:fldChar w:fldCharType="begin"/>
      </w:r>
      <w:r>
        <w:instrText xml:space="preserve"> XE "Eusebius" \f "Persons"</w:instrText>
      </w:r>
      <w:r>
        <w:fldChar w:fldCharType="end"/>
      </w:r>
      <w:r>
        <w:t xml:space="preserve">’ </w:t>
      </w:r>
      <w:r>
        <w:rPr>
          <w:i/>
        </w:rPr>
        <w:t>History</w:t>
      </w:r>
      <w:r>
        <w:t xml:space="preserve">, pages 136 and 318, must be understood of the cup alone. For what the author of the little book </w:t>
      </w:r>
      <w:r>
        <w:rPr>
          <w:i/>
        </w:rPr>
        <w:t>On the Seven Steps of the Church</w:t>
      </w:r>
      <w:r>
        <w:t xml:space="preserve">, volume V of Jerome, page 102, says: </w:t>
      </w:r>
      <w:r>
        <w:rPr>
          <w:i/>
        </w:rPr>
        <w:t>Just as consecration belongs to the priest, so the distribution of the sacrament belongs to the minister … the former consecrates what is offered, the latter distributes what is consecrated;</w:t>
      </w:r>
      <w:r>
        <w:t xml:space="preserve"> he explains this a little later about the cup, which is testified to be handed over by the deacon *after the consecration of all the sacraments.*</w:t>
      </w:r>
    </w:p>
    <w:p w14:paraId="3EDBD94B" w14:textId="77777777" w:rsidR="005C2B3E" w:rsidRDefault="00000000">
      <w:pPr>
        <w:ind w:firstLine="360"/>
      </w:pPr>
      <w:r>
        <w:t>Justin</w:t>
      </w:r>
      <w:r>
        <w:fldChar w:fldCharType="begin"/>
      </w:r>
      <w:r>
        <w:instrText xml:space="preserve"> XE "Justin" \f "Persons"</w:instrText>
      </w:r>
      <w:r>
        <w:fldChar w:fldCharType="end"/>
      </w:r>
      <w:r>
        <w:t xml:space="preserve"> seems to exclude the deacons from the distribution of those things which the faithful offered for the support and worship of the clergy. For he says in no. 67: “Those who have plenty and wish, give whatever each wants at their own discretion, and what is collected is placed with the one who presides, and he helps orphans and widows, and those who are in need either because of illness or some other cause, also those who are in chains and travelers from abroad; in one word, he takes care of all who are in need.” However, this can be explained so that the highest authority was said to be with the bishops, and the administration was subject to the episcopal authority through the deacons. For although in the </w:t>
      </w:r>
      <w:r>
        <w:rPr>
          <w:i/>
        </w:rPr>
        <w:t>Apostolic Constitutions</w:t>
      </w:r>
      <w:r>
        <w:t>, book 2, chapter 25, the same power is given to the bishop as in this account of Justin; later, in chapters 31 and 32, it is prescribed that deacons must give nothing at all without the bishop’s command; which is evidence that they carried out some parts of the distribution of offerings.</w:t>
      </w:r>
    </w:p>
    <w:p w14:paraId="132BF8FA" w14:textId="77777777" w:rsidR="005C2B3E" w:rsidRDefault="00000000">
      <w:pPr>
        <w:pStyle w:val="Heading3"/>
      </w:pPr>
      <w:r>
        <w:t>CHAPTER 11</w:t>
      </w:r>
    </w:p>
    <w:p w14:paraId="18FB436C" w14:textId="77777777" w:rsidR="005C2B3E" w:rsidRDefault="00000000">
      <w:pPr>
        <w:pStyle w:val="Heading4"/>
      </w:pPr>
      <w:r>
        <w:t>ON THE IMMORTALITY OF THE SOUL AND THE STATE OF DEMONS AND EVIL MEN BEFORE THE FINAL JUDGMENT</w:t>
      </w:r>
    </w:p>
    <w:p w14:paraId="7A564D57" w14:textId="77777777" w:rsidR="005C2B3E" w:rsidRDefault="00000000">
      <w:pPr>
        <w:spacing w:before="180" w:after="0"/>
        <w:ind w:left="720" w:right="320" w:hanging="360"/>
      </w:pPr>
      <w:r>
        <w:t>The testimonies of Justin</w:t>
      </w:r>
      <w:r>
        <w:fldChar w:fldCharType="begin"/>
      </w:r>
      <w:r>
        <w:instrText xml:space="preserve"> XE "Justin" \f "Persons"</w:instrText>
      </w:r>
      <w:r>
        <w:fldChar w:fldCharType="end"/>
      </w:r>
      <w:r>
        <w:t xml:space="preserve"> on the immortality of souls. II. What is read at the beginning of the Dialogue does not conflict with these. III. Tatian is defended against the most learned abbot of Longuerue. IV. The testimonies of Scripture and the Fathers support Justin and Tatian. V. Justin believes that demons are not yet tormented by fire. VI. He holds a different view about evil men.</w:t>
      </w:r>
    </w:p>
    <w:p w14:paraId="5BE1EAE7" w14:textId="77777777" w:rsidR="005C2B3E" w:rsidRDefault="00000000">
      <w:r>
        <w:t>I. After I discussed the help granted by Christ the Savior for eternal life, it follows that I examine what Justin</w:t>
      </w:r>
      <w:r>
        <w:fldChar w:fldCharType="begin"/>
      </w:r>
      <w:r>
        <w:instrText xml:space="preserve"> XE "Justin" \f "Persons"</w:instrText>
      </w:r>
      <w:r>
        <w:fldChar w:fldCharType="end"/>
      </w:r>
      <w:r>
        <w:t xml:space="preserve"> thought about the state of souls after death, and what he believed about the resurrection of the righteous, or about the kingdom of a thousand years. But since there are some things both in the holy martyr and in his disciple Tatian</w:t>
      </w:r>
      <w:r>
        <w:fldChar w:fldCharType="begin"/>
      </w:r>
      <w:r>
        <w:instrText xml:space="preserve"> XE "Tatian" \f "Persons"</w:instrText>
      </w:r>
      <w:r>
        <w:fldChar w:fldCharType="end"/>
      </w:r>
      <w:r>
        <w:t xml:space="preserve">, which </w:t>
      </w:r>
      <w:r>
        <w:lastRenderedPageBreak/>
        <w:t>many think conflict with the immortality of souls, nothing should be done first except to carefully investigate what each of them thought about these matters; whether they believed that souls would be so diminished by punishments that they would finally return to nothing.</w:t>
      </w:r>
    </w:p>
    <w:p w14:paraId="04FD9A21" w14:textId="77777777" w:rsidR="005C2B3E" w:rsidRDefault="00000000">
      <w:pPr>
        <w:ind w:firstLine="360"/>
      </w:pPr>
      <w:r>
        <w:t>As for Justin</w:t>
      </w:r>
      <w:r>
        <w:fldChar w:fldCharType="begin"/>
      </w:r>
      <w:r>
        <w:instrText xml:space="preserve"> XE "Justin" \f "Persons"</w:instrText>
      </w:r>
      <w:r>
        <w:fldChar w:fldCharType="end"/>
      </w:r>
      <w:r>
        <w:t>, he had learned the immortality of souls from Plato</w:t>
      </w:r>
      <w:r>
        <w:fldChar w:fldCharType="begin"/>
      </w:r>
      <w:r>
        <w:instrText xml:space="preserve"> XE "Plato" \f "Persons"</w:instrText>
      </w:r>
      <w:r>
        <w:fldChar w:fldCharType="end"/>
      </w:r>
      <w:r>
        <w:t xml:space="preserve"> himself, and it is unlikely that he unlearned it in the Christian religion, if anything good had come from the Platonic schools. Rather, he defends the eternity of punishments, which are inflicted on the wicked in the afterlife, as a proper dogma of the Christian religion, unknown even to Plato. “Similarly, indeed, Plato,” he says in Apology 1, no. 8, “said that the wicked, when they came to Rhadamanthus and Minos, would be punished by them. But we say the same will happen to them, but by Christ; and this with the same bodies existing together with their souls, and with eternal punishment to be endured, not limited to a circuit of a thousand years, as he said.” He teaches, no. 17, that Christians believe and are persuaded that each one will pay punishments in eternal fire according to the merits of their actions, and thus he addresses emperors, no. 18: “Consider the end of each previous emperor, who all died the common death: if this had turned into a state without sensation, it would have been a gain for all the wicked. But because sensation remains in all who have existed, and eternal punishments are set; do not be unwilling to be persuaded and to believe these things are true.” He could not establish any end at all for eternal fire, since he criticizes this error in Plato and says it would be a gain for the wicked if they passed into a state without sensation. These things are confirmed in no. 52, where he says: “But what was said: </w:t>
      </w:r>
      <w:r>
        <w:rPr>
          <w:i/>
        </w:rPr>
        <w:t>The sword will feed on you</w:t>
      </w:r>
      <w:r>
        <w:t xml:space="preserve">, does not have the force and meaning that those who do not obey are to be killed by the sword; but the sword of God is fire, whose food are those who bring evil into their minds. Hence it says: </w:t>
      </w:r>
      <w:r>
        <w:rPr>
          <w:i/>
        </w:rPr>
        <w:t>The sword will feed on you. For the mouth of the Lord has spoken.</w:t>
      </w:r>
      <w:r>
        <w:t xml:space="preserve"> If it spoke of a cutting and immediately releasing sword, it would not say, </w:t>
      </w:r>
      <w:r>
        <w:rPr>
          <w:i/>
        </w:rPr>
        <w:t>will feed</w:t>
      </w:r>
      <w:r>
        <w:t>.”</w:t>
      </w:r>
    </w:p>
    <w:p w14:paraId="100EA148" w14:textId="77777777" w:rsidR="005C2B3E" w:rsidRDefault="00000000">
      <w:pPr>
        <w:ind w:firstLine="360"/>
      </w:pPr>
      <w:r>
        <w:t xml:space="preserve">At the beginning of the </w:t>
      </w:r>
      <w:r>
        <w:rPr>
          <w:i/>
        </w:rPr>
        <w:t>Second Apology</w:t>
      </w:r>
      <w:r>
        <w:t>, he calls Christians those who are persuaded that “the wicked and lustful will be tormented by eternal fire, but the cultivators of virtue will live with God beyond all suffering.” Therefore, he should no more be said to have established an end to the punishments of the wicked than to the rewards of the good. In the same place, he mentions the praiseworthy efforts of a Christian woman, who, in order to draw her husband away from sins, warned him of “the future punishments in eternal fire for those living lustfully and beyond right reason.”</w:t>
      </w:r>
    </w:p>
    <w:p w14:paraId="1C4E10F7" w14:textId="77777777" w:rsidR="005C2B3E" w:rsidRDefault="00000000">
      <w:pPr>
        <w:ind w:firstLine="360"/>
      </w:pPr>
      <w:r>
        <w:t>II. Since I am about to reconcile this teaching of Justin</w:t>
      </w:r>
      <w:r>
        <w:fldChar w:fldCharType="begin"/>
      </w:r>
      <w:r>
        <w:instrText xml:space="preserve"> XE "Justin" \f "Persons"</w:instrText>
      </w:r>
      <w:r>
        <w:fldChar w:fldCharType="end"/>
      </w:r>
      <w:r>
        <w:t xml:space="preserve"> with those things that at first seem to conflict in the </w:t>
      </w:r>
      <w:r>
        <w:rPr>
          <w:i/>
        </w:rPr>
        <w:t>Dialogue</w:t>
      </w:r>
      <w:r>
        <w:t xml:space="preserve"> with Trypho, not indeed disputed by Justin himself, but by a certain old Christian from whom the holy martyr reports and </w:t>
      </w:r>
      <w:r>
        <w:lastRenderedPageBreak/>
        <w:t>approves after hearing. After the old man persuaded Justin that philosophers were entirely mistaken in their discussions about the soul and could not explain what the soul is, he adds this: “Nor should the soul be called immortal; for if it is immortal, it is also certainly uncreated.” Then he asks Justin whether he believes the world is uncreated. When Justin denies this, the old man praises him and reasons thus: “If the world is created, it is necessary that souls also are created and can cease to exist. For they are made for the sake of humans and other animals, if you say they are created separately and not together with their own bodies. Therefore, they are not immortal.” Justin agrees and asks the old man whether he says the same about souls as Plato</w:t>
      </w:r>
      <w:r>
        <w:fldChar w:fldCharType="begin"/>
      </w:r>
      <w:r>
        <w:instrText xml:space="preserve"> XE "Plato" \f "Persons"</w:instrText>
      </w:r>
      <w:r>
        <w:fldChar w:fldCharType="end"/>
      </w:r>
      <w:r>
        <w:t xml:space="preserve"> says about the world, which he established to be subject to corruption, insofar as it is created, but nevertheless to remain by the will of God; or whether he means that Plato and Pythagoras hid these things. Then the old man says: “I do not delay on Plato or Pythagoras, nor anyone at all who holds such opinions. But the truth is as follows: and you will see it from this: the soul is either life itself or has life. If it is life, it does not have life from itself, but receives life from another, just as motion moves something else, not itself. But no one denies that the soul lives. But if it lives, it does not live because it is life, but because it shares in life. But what is a sharer of something is one thing, and what it shares in is another. The soul is a sharer of life, because God wills it to live; likewise, it will sometimes not be a sharer when God does not will it to live. For the soul does not have its own life as God does. But just as a human does not always exist, nor is the body always joined with the soul, but when the union must be dissolved, the soul leaves the body, and the human no longer exists; similarly, when the soul must no longer exist, the vital spirit departs from it, and the soul no longer exists, but returns to where it was taken from.”</w:t>
      </w:r>
    </w:p>
    <w:p w14:paraId="79ED83FB" w14:textId="77777777" w:rsidR="005C2B3E" w:rsidRDefault="00000000">
      <w:pPr>
        <w:ind w:firstLine="360"/>
      </w:pPr>
      <w:r>
        <w:t>If we pay proper attention, these testimonies do not support the absurd opinion, which Dodwell not long ago defended among the English and attributed to the holy Fathers, that the souls of those who were not regenerated by the Holy Spirit through baptism will someday perish and return to nothing. Nothing else do Justin</w:t>
      </w:r>
      <w:r>
        <w:fldChar w:fldCharType="begin"/>
      </w:r>
      <w:r>
        <w:instrText xml:space="preserve"> XE "Justin" \f "Persons"</w:instrText>
      </w:r>
      <w:r>
        <w:fldChar w:fldCharType="end"/>
      </w:r>
      <w:r>
        <w:t xml:space="preserve"> or that old Christian teach here except that our souls receive immortality not from themselves but from God. First, Justin denies only that kind of immortality for souls which cannot exist with the condition of a created thing. “Nor should the soul be called immortal; for if it is immortal, it is also certainly uncreated.” Therefore, he does not reject the immortality that depends on the will of God, but that which some philosophers arrogantly claimed for themselves, who, as was said before, “suppose the soul to be immortal and incorporeal, and do not think they will suffer punishments if they have done wrong (for whatever is incorporeal cannot suffer), nor do they need anything from God since the soul is immortal.”</w:t>
      </w:r>
    </w:p>
    <w:p w14:paraId="27ED337D" w14:textId="77777777" w:rsidR="005C2B3E" w:rsidRDefault="00000000">
      <w:pPr>
        <w:ind w:firstLine="360"/>
      </w:pPr>
      <w:r>
        <w:t xml:space="preserve">Second, these are confirmed by what the old man adds: “If the world is created, it is necessary that souls also are created and can cease to exist. Therefore, they are not </w:t>
      </w:r>
      <w:r>
        <w:lastRenderedPageBreak/>
        <w:t>immortal.” He denies souls to be immortal in the sense that they could cease to exist; he does not say that they will someday cease to exist, but argues that it is possible for this to happen.</w:t>
      </w:r>
    </w:p>
    <w:p w14:paraId="51DD0D43" w14:textId="77777777" w:rsidR="005C2B3E" w:rsidRDefault="00000000">
      <w:pPr>
        <w:ind w:firstLine="360"/>
      </w:pPr>
      <w:r>
        <w:t>Third, since he denies that the soul will live if God does not will it to live, the whole discussion turns on the nature of the soul, and the old man does not speak more about the souls of the wicked than about those of the righteous; but he argues that the nature of any soul is such that it is neither life itself nor has life of its own. Therefore, it cannot be said any more that the punishments of the wicked have an end than that the happiness of the righteous does.</w:t>
      </w:r>
    </w:p>
    <w:p w14:paraId="2852AECA" w14:textId="77777777" w:rsidR="005C2B3E" w:rsidRDefault="00000000">
      <w:pPr>
        <w:ind w:firstLine="360"/>
      </w:pPr>
      <w:r>
        <w:t>Fourth, with these words the old man declares that no souls die. For these words must be understood as I noted at this place, ἀλλὰ μὴν οὐδὲ ἀποθνήσκειν φημὶ πάσας τὰς ψυχὰς ἐγώ, etc. “Yet I do not say that any souls perish; for that would truly be a gain for the wicked. What then? The souls of the pious remain in a better place, while those of the unjust and evil remain in a worse, awaiting the time of judgment. Thus, once these have been judged worthy by God, they no longer die; but these are punished as long as God wills them to exist and be punished.” If it were a gain for the wicked to die, then no souls die; for eternity is established for the righteous. The old man's way of speaking often means the same as none. So with Paul</w:t>
      </w:r>
      <w:r>
        <w:fldChar w:fldCharType="begin"/>
      </w:r>
      <w:r>
        <w:instrText xml:space="preserve"> XE "Paul" \f "Persons"</w:instrText>
      </w:r>
      <w:r>
        <w:fldChar w:fldCharType="end"/>
      </w:r>
      <w:r>
        <w:t xml:space="preserve">, Romans 3:20: Ἐξ ἕργων νόμου οὐ δικαιωθήσεται πᾶσα σάρξ. </w:t>
      </w:r>
      <w:r>
        <w:rPr>
          <w:i/>
        </w:rPr>
        <w:t>No flesh will be justified by works of the law.</w:t>
      </w:r>
      <w:r>
        <w:t xml:space="preserve"> What the serpent said to the woman: Τί ὅτι εἶπεν ὁ Θεὸς, οὐ μὴ φάγητε ἀπὸ παντὸς ξύλου τοῦ παραδείσου? </w:t>
      </w:r>
      <w:r>
        <w:rPr>
          <w:i/>
        </w:rPr>
        <w:t>Why did God command you not to eat from every tree of paradise?</w:t>
      </w:r>
      <w:r>
        <w:t xml:space="preserve"> Genesis 3:1, Irenaeus in book 5, chapter 23; Tertullian</w:t>
      </w:r>
      <w:r>
        <w:fldChar w:fldCharType="begin"/>
      </w:r>
      <w:r>
        <w:instrText xml:space="preserve"> XE "Tertullian" \f "Persons"</w:instrText>
      </w:r>
      <w:r>
        <w:fldChar w:fldCharType="end"/>
      </w:r>
      <w:r>
        <w:t xml:space="preserve">, book 2 </w:t>
      </w:r>
      <w:r>
        <w:rPr>
          <w:i/>
        </w:rPr>
        <w:t>Against Marcion</w:t>
      </w:r>
      <w:r>
        <w:t>, chapter 10; Ambrose</w:t>
      </w:r>
      <w:r>
        <w:fldChar w:fldCharType="begin"/>
      </w:r>
      <w:r>
        <w:instrText xml:space="preserve"> XE "Ambrose" \f "Persons"</w:instrText>
      </w:r>
      <w:r>
        <w:fldChar w:fldCharType="end"/>
      </w:r>
      <w:r>
        <w:t xml:space="preserve">, book </w:t>
      </w:r>
      <w:r>
        <w:rPr>
          <w:i/>
        </w:rPr>
        <w:t>On Paradise</w:t>
      </w:r>
      <w:r>
        <w:t>; Chrysostom</w:t>
      </w:r>
      <w:r>
        <w:fldChar w:fldCharType="begin"/>
      </w:r>
      <w:r>
        <w:instrText xml:space="preserve"> XE "Chrysostom" \f "Persons"</w:instrText>
      </w:r>
      <w:r>
        <w:fldChar w:fldCharType="end"/>
      </w:r>
      <w:r>
        <w:t xml:space="preserve">, homily 16 </w:t>
      </w:r>
      <w:r>
        <w:rPr>
          <w:i/>
        </w:rPr>
        <w:t>on Genesis</w:t>
      </w:r>
      <w:r>
        <w:t xml:space="preserve"> think that the serpent lied here, and that the first temptation of the woman to be called by God was thus made, as if God had not allowed the use of any tree.</w:t>
      </w:r>
    </w:p>
    <w:p w14:paraId="070840FF" w14:textId="77777777" w:rsidR="005C2B3E" w:rsidRDefault="00000000">
      <w:pPr>
        <w:ind w:firstLine="360"/>
      </w:pPr>
      <w:r>
        <w:t>Fifth, Justin</w:t>
      </w:r>
      <w:r>
        <w:fldChar w:fldCharType="begin"/>
      </w:r>
      <w:r>
        <w:instrText xml:space="preserve"> XE "Justin" \f "Persons"</w:instrText>
      </w:r>
      <w:r>
        <w:fldChar w:fldCharType="end"/>
      </w:r>
      <w:r>
        <w:t xml:space="preserve"> had asked the old man whether, like Plato</w:t>
      </w:r>
      <w:r>
        <w:fldChar w:fldCharType="begin"/>
      </w:r>
      <w:r>
        <w:instrText xml:space="preserve"> XE "Plato" \f "Persons"</w:instrText>
      </w:r>
      <w:r>
        <w:fldChar w:fldCharType="end"/>
      </w:r>
      <w:r>
        <w:t xml:space="preserve">, he would say that souls are not immortal by their own nature but are eternal by the will of God. The same Platonic Justin added that only God is neither begotten nor subject to corruption, but all else after him is begotten and subject to corruption, and such that they can be destroyed and cease to exist; and this is the very reason why souls die and are punished. For if they were unbegotten, it would not happen that they sin, overflow with folly, are lazy or fierce, or by their own will migrate into their own kind, like snakes and dogs. In this view, nothing is taken away from the immortality of souls; but they are begotten and such that they can be destroyed. They are said to die insofar as they are subject to change and faults. We will often see this state of corruption called death; the old man himself said a little before that the souls of the righteous, once they have attained the eternal state of happiness, no longer die. Therefore, no suspicion of error remains either in this old man or in Justin. Now, adding to the cited testimonies of Justin, it is </w:t>
      </w:r>
      <w:r>
        <w:lastRenderedPageBreak/>
        <w:t xml:space="preserve">fitting to add this from the </w:t>
      </w:r>
      <w:r>
        <w:rPr>
          <w:i/>
        </w:rPr>
        <w:t>Dialogue</w:t>
      </w:r>
      <w:r>
        <w:t>, number 130: “From Isaiah</w:t>
      </w:r>
      <w:r>
        <w:fldChar w:fldCharType="begin"/>
      </w:r>
      <w:r>
        <w:instrText xml:space="preserve"> XE "Isaiah" \f "Persons"</w:instrText>
      </w:r>
      <w:r>
        <w:fldChar w:fldCharType="end"/>
      </w:r>
      <w:r>
        <w:t xml:space="preserve"> we learned that the members of the transgressors will be devoured by the worm and unquenchable fire, remaining immortal, so that they may be a spectacle to all flesh.” He who so firmly attributes immortality to the body, could he deny it to the soul?</w:t>
      </w:r>
    </w:p>
    <w:p w14:paraId="62B2204C" w14:textId="77777777" w:rsidR="005C2B3E" w:rsidRDefault="00000000">
      <w:pPr>
        <w:ind w:firstLine="360"/>
      </w:pPr>
      <w:r>
        <w:t>III. We have Tatian</w:t>
      </w:r>
      <w:r>
        <w:fldChar w:fldCharType="begin"/>
      </w:r>
      <w:r>
        <w:instrText xml:space="preserve"> XE "Tatian" \f "Persons"</w:instrText>
      </w:r>
      <w:r>
        <w:fldChar w:fldCharType="end"/>
      </w:r>
      <w:r>
        <w:t xml:space="preserve">’s view clearly expressed in the </w:t>
      </w:r>
      <w:r>
        <w:rPr>
          <w:i/>
        </w:rPr>
        <w:t>Oration against the Greeks</w:t>
      </w:r>
      <w:r>
        <w:t>, where he speaks thus, number 25: Σῶμά τις εἶναι λέγει Θεόν· ἐγὼ δὲ ἀσώματον· ἄλυτον εἷναι τὸν κόσμον, ἐγὼ λυόμενον· ἐκπύρωσιν ἀποβαίνειν κατὰ καιροὺς, ἐγὼ δὲ εἰσάπαξ. Κριτὰς εἶναι Μίνω καὶ Ῥαδάμανθον, ἐγὼ δὲ αὐτὸν τὸν Θεόν· ἀπαθανατίζεσθαι μόνην τὴν ψυχὴν, ἐγὼ δὲ καὶ τὸ σὺν αὐτῇ σαρκίον. “There is one who says God is a body; I say incorporeal; that the world is indissoluble, I say it is dissolvable; that the conflagration happens at various times, I say it will happen once; that Minos and Rhadamanthus are judges, I say God himself is judge; that only the soul is made immortal, I say also the flesh with it.” Yet the most learned abbot of Longuerue judges that Tatian denies the immortality of the soul in his dissertation following Tatian’s oration in the Oxford edition. “Tatian,” he says, “ignorantly and impiously denies that the human soul is immortal by nature. For he declares that the souls of some men die with their bodies; but those of others are indeed dissolved, but do not die. And this is a fiction taught by a new and thoughtless master to the Greeks.” The passage cited by this learned man occurs at number 13, where it reads: Οὐκ ἔστιν ἀθάνατος, ἄνδρες Ἕλληνες, ἡ ψυχὴ καθʼ ἑαυτὴν, θνητὴ δέ. Ἀλλὰ δύναται ἡ αὐτὴ καὶ μὴ ἀποθνήσκειν. Θνήσκει γὰρ καὶ λύεται μετὰ τοῦ σώματος, μὴ γινώσκουσα τὴν ἀλήθειαν, ἀνίσταται δὲ εἰς ὕστερον ἐπὶ συντελείᾳ τοῦ κόσμου σὺν τῷ σώματι, θάνατον διὰ τιμωρίας ἐν ἀθανασίᾳ λαμβάνουσα· πάλιν τε οὐ θνήσκει, κᾶν πρὸς καιρὸν λυθῇ, τὴν ἐπίγνωσιν τοῦ Θεοῦ πεποιημένη. “The soul is not immortal, O Greeks, by itself, but mortal; yet it is able not to die. For it dies and is dissolved with the body, not knowing the truth; but it rises again at the end of the world with the body, receiving death as punishment in immortality; and again it does not die, even if it is dissolved for a time, having been made aware of God.”</w:t>
      </w:r>
    </w:p>
    <w:p w14:paraId="668DDD26" w14:textId="77777777" w:rsidR="005C2B3E" w:rsidRDefault="00000000">
      <w:pPr>
        <w:ind w:firstLine="360"/>
      </w:pPr>
      <w:r>
        <w:t xml:space="preserve">But it is clear that by the name death is not meant destruction and passing away into nothing, but the miserable state of a soul alienated from God. For he does not hesitate to call the immortality of the wicked “death in immortality.” What follows is clearer for understanding his mind: Καθʼ ἑαυτὴν γὰρ σκότος ἐστὶ, καὶ οὐδὲν ἐν αὐτῇ φωτεινὸν, καὶ τοῦτό ἐστιν ἄρα τὸ εἰρημένον· “Ἡ σκοτία τὸ φῶς οὐ καταλαμβάνει.” For the soul did not save the spirit itself, but was saved by it, and the light overcame the darkness. The Word is indeed the light of God, but the ignorant soul is darkness. Therefore, if it lives alone, it leans downward toward matter, dying together with the flesh. But having gained union with the divine Spirit, it is not helpless; it rises to the places to which the Spirit leads it. “For the soul itself is nothing else but darkness, and nothing luminous in it. And this is what is said: ‘Darkness does not overcome the light.’ </w:t>
      </w:r>
      <w:r>
        <w:lastRenderedPageBreak/>
        <w:t>For the soul did not save the spirit, but was saved by it, and the light overcame the darkness. The Word is the divine light; darkness is the ignorant soul. Therefore, if it lives alone, it leans downward toward matter, dying together with the flesh. But joined with the divine Spirit, it is not without help, but it rises where the Spirit leads it.” So death returns to that soul deprived of the knowledge of God, that it leans downward and is not carried upward by the help of the Spirit. But if it leans downward and seeks matter, it is certainly not dead and destroyed. Therefore, the very learned man has no reason to distinguish two kinds of souls in Tatian, of which some die and others are dissolved. Tatian recognizes no souls that are not dissolved from the body; nor any that die with the body.</w:t>
      </w:r>
    </w:p>
    <w:p w14:paraId="6B69D6F7" w14:textId="77777777" w:rsidR="005C2B3E" w:rsidRDefault="00000000">
      <w:pPr>
        <w:ind w:firstLine="360"/>
      </w:pPr>
      <w:r>
        <w:t>Tatian</w:t>
      </w:r>
      <w:r>
        <w:fldChar w:fldCharType="begin"/>
      </w:r>
      <w:r>
        <w:instrText xml:space="preserve"> XE "Tatian" \f "Persons"</w:instrText>
      </w:r>
      <w:r>
        <w:fldChar w:fldCharType="end"/>
      </w:r>
      <w:r>
        <w:t xml:space="preserve"> declares by many other things that even the souls of the wicked remain until the resurrection. Since some attributed to souls separated from the body those things which are usually done by the work of demons, he refutes their opinion thus, number 16: “Moreover, the demons who rule over men are not the souls of men. How then could they be effective even after death? Unless perhaps a man, while he lives, is foolish and weak; but once dead, he is believed to be endowed with greater power. But things are not so, as we have shown elsewhere; and it is very difficult to think the soul immortal, when it has departed from the body, whose limbs it was bound to, becoming more intelligent.” You see that Tatian here speaks of the souls of the impious, from whom some thought many evils come upon humankind. Tatian denies that such souls have the same power as demons, but he places them in the surest position, that when they have departed from the body, they survive and are immortal. He says that man was created as the image of immortality by the Word, number 7.</w:t>
      </w:r>
    </w:p>
    <w:p w14:paraId="5668AB9A" w14:textId="77777777" w:rsidR="005C2B3E" w:rsidRDefault="00000000">
      <w:pPr>
        <w:ind w:firstLine="360"/>
      </w:pPr>
      <w:r>
        <w:t>Tatian</w:t>
      </w:r>
      <w:r>
        <w:fldChar w:fldCharType="begin"/>
      </w:r>
      <w:r>
        <w:instrText xml:space="preserve"> XE "Tatian" \f "Persons"</w:instrText>
      </w:r>
      <w:r>
        <w:fldChar w:fldCharType="end"/>
      </w:r>
      <w:r>
        <w:t xml:space="preserve"> therefore suspected no other death of the soul except that which departs when sins keep away the Holy Spirit. For he held that a man, if he is not the temple of the Holy Spirit, differs from beasts only in voice, but in all other respects is of the same condition as they are, as one who is not the likeness of God. It is certainly no wonder, then, if he considers dead those who have withdrawn themselves from the Holy Spirit. Of this kind of death we must understand what he says, number 9: “Why do you watch over fate because of greed? Why do you often die because of desire?”</w:t>
      </w:r>
    </w:p>
    <w:p w14:paraId="088C261D" w14:textId="77777777" w:rsidR="005C2B3E" w:rsidRDefault="00000000">
      <w:pPr>
        <w:ind w:firstLine="360"/>
      </w:pPr>
      <w:r>
        <w:t xml:space="preserve">He says the same about demons, that they die daily when they teach men to sin, and that they will die especially when they are driven into punishment. “Demons do not die easily,” he says, number 14, “for they are free from the flesh, but they live out the laws of death; indeed, they die as many times as they have trained their followers to sin. Therefore, what is now most important for them, that they do not die just like men, they will by no means avoid when they begin to be punished, nor will they, as partakers of eternal life, escape a certain death in immortality. Just as we, who now easily die, will later receive immortality with pleasure, or pain with immortality; so also </w:t>
      </w:r>
      <w:r>
        <w:lastRenderedPageBreak/>
        <w:t>the demons, who in this present life abuse sin and die throughout their whole life, will again have immortality—indeed, the same by nature as when they lived, but similar to those men in the sense of punishment, who acted according to the will of their own soul, whatever the demons had prescribed to the living.”</w:t>
      </w:r>
    </w:p>
    <w:p w14:paraId="039EE0FC" w14:textId="77777777" w:rsidR="005C2B3E" w:rsidRDefault="00000000">
      <w:pPr>
        <w:ind w:firstLine="360"/>
      </w:pPr>
      <w:r>
        <w:t>IV. The entire teaching of Justin</w:t>
      </w:r>
      <w:r>
        <w:fldChar w:fldCharType="begin"/>
      </w:r>
      <w:r>
        <w:instrText xml:space="preserve"> XE "Justin" \f "Persons"</w:instrText>
      </w:r>
      <w:r>
        <w:fldChar w:fldCharType="end"/>
      </w:r>
      <w:r>
        <w:t xml:space="preserve"> and Tatian</w:t>
      </w:r>
      <w:r>
        <w:fldChar w:fldCharType="begin"/>
      </w:r>
      <w:r>
        <w:instrText xml:space="preserve"> XE "Tatian" \f "Persons"</w:instrText>
      </w:r>
      <w:r>
        <w:fldChar w:fldCharType="end"/>
      </w:r>
      <w:r>
        <w:t xml:space="preserve"> about the immortality of the soul can be reduced to this: they deny that the soul is immortal by its own nature, but only by the will of God; they say it is mortal insofar as it falls into vices. Both ways of speaking were common among the ancients. Saint</w:t>
      </w:r>
      <w:r>
        <w:fldChar w:fldCharType="begin"/>
      </w:r>
      <w:r>
        <w:instrText xml:space="preserve"> XE "Saint" \f "Persons"</w:instrText>
      </w:r>
      <w:r>
        <w:fldChar w:fldCharType="end"/>
      </w:r>
      <w:r>
        <w:t xml:space="preserve"> Irenaeus</w:t>
      </w:r>
      <w:r>
        <w:fldChar w:fldCharType="begin"/>
      </w:r>
      <w:r>
        <w:instrText xml:space="preserve"> XE "Irenaeus" \f "Persons"</w:instrText>
      </w:r>
      <w:r>
        <w:fldChar w:fldCharType="end"/>
      </w:r>
      <w:r>
        <w:t xml:space="preserve"> teaches that souls are immortal by the will of God, not by their own nature. “Just as the sky,” he says, book ii, chapter 34, number 2, “and the other stars, and all their ornaments, since they did not exist before, were made and endure for a long time according to the will of God; so also about souls, and spirits, and altogether about all these things that were made, who would not sin least in thinking that all things that were made have a beginning of their making, but endure as long as God wills them to be and to endure.” But what concerns that death of the soul, which is led by wickedness and eternal torments, nothing is more consistent with Scripture and the custom of the Fathers’ speech. The second death mentioned in many places in Revelation means nothing else. That death, which entered through one man, is the death of soul and body. “The devil,” Augustine</w:t>
      </w:r>
      <w:r>
        <w:fldChar w:fldCharType="begin"/>
      </w:r>
      <w:r>
        <w:instrText xml:space="preserve"> XE "Augustine" \f "Persons"</w:instrText>
      </w:r>
      <w:r>
        <w:fldChar w:fldCharType="end"/>
      </w:r>
      <w:r>
        <w:t xml:space="preserve"> says, book iv of </w:t>
      </w:r>
      <w:r>
        <w:rPr>
          <w:i/>
        </w:rPr>
        <w:t>On the Trinity</w:t>
      </w:r>
      <w:r>
        <w:t>, number 15, “brought his own simple death to work our double death. For he died in spirit through impiety.” The same, book xiv, number 6: “Indeed, the soul has its own death when it lacks blessed life.” And book ii, number 15: “Change itself is called mortality without contradiction, according to which the soul is said to die.” It is not fitting to collect more on a clear and well-explored matter.</w:t>
      </w:r>
    </w:p>
    <w:p w14:paraId="0129CABD" w14:textId="77777777" w:rsidR="005C2B3E" w:rsidRDefault="00000000">
      <w:pPr>
        <w:ind w:firstLine="360"/>
      </w:pPr>
      <w:r>
        <w:t>V. I hope it has been shown clearly enough that Justin</w:t>
      </w:r>
      <w:r>
        <w:fldChar w:fldCharType="begin"/>
      </w:r>
      <w:r>
        <w:instrText xml:space="preserve"> XE "Justin" \f "Persons"</w:instrText>
      </w:r>
      <w:r>
        <w:fldChar w:fldCharType="end"/>
      </w:r>
      <w:r>
        <w:t xml:space="preserve"> understood nothing about the immortality of souls that is not worthy of the martyrdom of Christ; but another not light question remains, whether he believed that demons and evil men are already now being tormented by fire.</w:t>
      </w:r>
    </w:p>
    <w:p w14:paraId="3B536810" w14:textId="77777777" w:rsidR="005C2B3E" w:rsidRDefault="00000000">
      <w:pPr>
        <w:ind w:firstLine="360"/>
      </w:pPr>
      <w:r>
        <w:t>There is little doubt that Justin</w:t>
      </w:r>
      <w:r>
        <w:fldChar w:fldCharType="begin"/>
      </w:r>
      <w:r>
        <w:instrText xml:space="preserve"> XE "Justin" \f "Persons"</w:instrText>
      </w:r>
      <w:r>
        <w:fldChar w:fldCharType="end"/>
      </w:r>
      <w:r>
        <w:t xml:space="preserve"> believed the punishments of demons to be postponed until the final and general judgment. This is clearly taught in the places just cited by his disciple Tatian</w:t>
      </w:r>
      <w:r>
        <w:fldChar w:fldCharType="begin"/>
      </w:r>
      <w:r>
        <w:instrText xml:space="preserve"> XE "Tatian" \f "Persons"</w:instrText>
      </w:r>
      <w:r>
        <w:fldChar w:fldCharType="end"/>
      </w:r>
      <w:r>
        <w:t xml:space="preserve">, who had not yet departed from his teacher’s doctrine when he wrote his speech against the Greeks. The opinion of the holy martyr can be seen from these words in </w:t>
      </w:r>
      <w:r>
        <w:rPr>
          <w:i/>
        </w:rPr>
        <w:t>Apology</w:t>
      </w:r>
      <w:r>
        <w:t xml:space="preserve"> 1, number 28: “For with us,” he says, “the prince of evil demons is called serpent, Satan, and devil, as you can clearly see by examining our writings. Christ foretold that he, with his army and the men following him, would be cast into fire to be tormented forever and ever. The delay in this, so that God has not yet completed it, happened because of the human race.” The same opinion is reflected in what the holy martyr said, with Irenaeus</w:t>
      </w:r>
      <w:r>
        <w:fldChar w:fldCharType="begin"/>
      </w:r>
      <w:r>
        <w:instrText xml:space="preserve"> XE "Irenaeus" \f "Persons"</w:instrText>
      </w:r>
      <w:r>
        <w:fldChar w:fldCharType="end"/>
      </w:r>
      <w:r>
        <w:t xml:space="preserve"> as witness, that the demon, before Christ came, did not yet certainly know that he was condemned, so that he himself was </w:t>
      </w:r>
      <w:r>
        <w:lastRenderedPageBreak/>
        <w:t>frustrated by that foolish opinion, as if he had hidden God. “Well,” says Irenaeus, book v, chapter 26, “Justin said that before the Lord’s coming Satan never dared to blaspheme God, because he did not yet know his damnation.” Petavius</w:t>
      </w:r>
      <w:r>
        <w:fldChar w:fldCharType="begin"/>
      </w:r>
      <w:r>
        <w:instrText xml:space="preserve"> XE "Petavius" \f "Persons"</w:instrText>
      </w:r>
      <w:r>
        <w:fldChar w:fldCharType="end"/>
      </w:r>
      <w:r>
        <w:t xml:space="preserve"> observes, in book iii, </w:t>
      </w:r>
      <w:r>
        <w:rPr>
          <w:i/>
        </w:rPr>
        <w:t>On Angels</w:t>
      </w:r>
      <w:r>
        <w:t xml:space="preserve">, chapters 3 and 4, that this opinion of Justin about ignorance of damnation was followed by the author of the </w:t>
      </w:r>
      <w:r>
        <w:rPr>
          <w:i/>
        </w:rPr>
        <w:t>Against Marcion</w:t>
      </w:r>
      <w:r>
        <w:t>, book i, chapter 3; Eusebius</w:t>
      </w:r>
      <w:r>
        <w:fldChar w:fldCharType="begin"/>
      </w:r>
      <w:r>
        <w:instrText xml:space="preserve"> XE "Eusebius" \f "Persons"</w:instrText>
      </w:r>
      <w:r>
        <w:fldChar w:fldCharType="end"/>
      </w:r>
      <w:r>
        <w:t xml:space="preserve">, book iv of </w:t>
      </w:r>
      <w:r>
        <w:rPr>
          <w:i/>
        </w:rPr>
        <w:t>History</w:t>
      </w:r>
      <w:r>
        <w:t>, chapter 18; Epiphanius</w:t>
      </w:r>
      <w:r>
        <w:fldChar w:fldCharType="begin"/>
      </w:r>
      <w:r>
        <w:instrText xml:space="preserve"> XE "Epiphanius" \f "Persons"</w:instrText>
      </w:r>
      <w:r>
        <w:fldChar w:fldCharType="end"/>
      </w:r>
      <w:r>
        <w:t>, heresy 39; Isidore of Pelusium</w:t>
      </w:r>
      <w:r>
        <w:fldChar w:fldCharType="begin"/>
      </w:r>
      <w:r>
        <w:instrText xml:space="preserve"> XE "Isidore of Pelusium" \f "Persons"</w:instrText>
      </w:r>
      <w:r>
        <w:fldChar w:fldCharType="end"/>
      </w:r>
      <w:r>
        <w:t>, book ii, letter 90; Œcumenius on the last chapter of 1 Peter; and not without reason he judges that these writers believed the devil’s punishments in eternal fire to be postponed until the final judgment.</w:t>
      </w:r>
    </w:p>
    <w:p w14:paraId="09CBF885" w14:textId="77777777" w:rsidR="005C2B3E" w:rsidRDefault="00000000">
      <w:pPr>
        <w:ind w:firstLine="360"/>
      </w:pPr>
      <w:r>
        <w:t xml:space="preserve">But what the same Fathers attribute in book i, chapter 8, that </w:t>
      </w:r>
      <w:r>
        <w:rPr>
          <w:i/>
        </w:rPr>
        <w:t>the demon had some hope of obtaining salvation through Christ</w:t>
      </w:r>
      <w:r>
        <w:t>, can indeed be attributed to Epiphanius</w:t>
      </w:r>
      <w:r>
        <w:fldChar w:fldCharType="begin"/>
      </w:r>
      <w:r>
        <w:instrText xml:space="preserve"> XE "Epiphanius" \f "Persons"</w:instrText>
      </w:r>
      <w:r>
        <w:fldChar w:fldCharType="end"/>
      </w:r>
      <w:r>
        <w:t>; for he clearly states it. But as for Justin</w:t>
      </w:r>
      <w:r>
        <w:fldChar w:fldCharType="begin"/>
      </w:r>
      <w:r>
        <w:instrText xml:space="preserve"> XE "Justin" \f "Persons"</w:instrText>
      </w:r>
      <w:r>
        <w:fldChar w:fldCharType="end"/>
      </w:r>
      <w:r>
        <w:t xml:space="preserve"> and those who either reported his words, like Irenaeus</w:t>
      </w:r>
      <w:r>
        <w:fldChar w:fldCharType="begin"/>
      </w:r>
      <w:r>
        <w:instrText xml:space="preserve"> XE "Irenaeus" \f "Persons"</w:instrText>
      </w:r>
      <w:r>
        <w:fldChar w:fldCharType="end"/>
      </w:r>
      <w:r>
        <w:t xml:space="preserve"> and Eusebius</w:t>
      </w:r>
      <w:r>
        <w:fldChar w:fldCharType="begin"/>
      </w:r>
      <w:r>
        <w:instrText xml:space="preserve"> XE "Eusebius" \f "Persons"</w:instrText>
      </w:r>
      <w:r>
        <w:fldChar w:fldCharType="end"/>
      </w:r>
      <w:r>
        <w:t xml:space="preserve">, or, like the author of the </w:t>
      </w:r>
      <w:r>
        <w:rPr>
          <w:i/>
        </w:rPr>
        <w:t>Against Marcion</w:t>
      </w:r>
      <w:r>
        <w:t>, Isidore</w:t>
      </w:r>
      <w:r>
        <w:fldChar w:fldCharType="begin"/>
      </w:r>
      <w:r>
        <w:instrText xml:space="preserve"> XE "Isidore" \f "Persons"</w:instrText>
      </w:r>
      <w:r>
        <w:fldChar w:fldCharType="end"/>
      </w:r>
      <w:r>
        <w:t>, and Œcumenius, imitated them, the cause seems to be different. Irenaeus gives this reason why Justin said that the devil had not yet been made certain of his damnation: “Because it was said about him in parables and allegories by the prophets. But after the Lord’s coming, learning clearly from the words of Christ and his apostles that eternal fire is prepared for him by his own will as he departs from God, and for all who persist in apostasy without repentance: through such men he blasphemes that God who brings judgment, as if already condemned, and blames the sin of his apostasy on his Creator, not on his own will and judgment; just as those who break laws and suffer punishments complain about the lawmakers, but not about themselves.” There is no trace here of hope in Christ the Lord; the doubt of Satan and ignorance of his fate is drawn from the fact that his condemnation was not so openly foretold in the Old Testament as in the New. Indeed, Irenaeus judges that Satan reached such foolishness as to try to hide God, not by himself, but by blaspheming through heretics. “For he,” says Irenaeus there, “does not dare to blaspheme his Lord nakedly by himself, just as at first he deceived man through the serpent, as if hiding God.” Therefore, Justin and Irenaeus never thought that Satan hoped in Christ; rather, they argue the great folly of one who thought he could hide God. As for the punishments of fire owed to him being postponed until the final judgment, Petavius</w:t>
      </w:r>
      <w:r>
        <w:fldChar w:fldCharType="begin"/>
      </w:r>
      <w:r>
        <w:instrText xml:space="preserve"> XE "Petavius" \f "Persons"</w:instrText>
      </w:r>
      <w:r>
        <w:fldChar w:fldCharType="end"/>
      </w:r>
      <w:r>
        <w:t xml:space="preserve">, in book iii, </w:t>
      </w:r>
      <w:r>
        <w:rPr>
          <w:i/>
        </w:rPr>
        <w:t>On Angels</w:t>
      </w:r>
      <w:r>
        <w:t>, chapter 4, considers this opinion supported by the most respected Fathers, among whom he could count Hilary</w:t>
      </w:r>
      <w:r>
        <w:fldChar w:fldCharType="begin"/>
      </w:r>
      <w:r>
        <w:instrText xml:space="preserve"> XE "Hilary" \f "Persons"</w:instrText>
      </w:r>
      <w:r>
        <w:fldChar w:fldCharType="end"/>
      </w:r>
      <w:r>
        <w:t xml:space="preserve"> on Psalm 143, and he contends that it was recorded without error by Saint Thomas and defended without blame by Cajetan</w:t>
      </w:r>
      <w:r>
        <w:fldChar w:fldCharType="begin"/>
      </w:r>
      <w:r>
        <w:instrText xml:space="preserve"> XE "Cajetan" \f "Persons"</w:instrText>
      </w:r>
      <w:r>
        <w:fldChar w:fldCharType="end"/>
      </w:r>
      <w:r>
        <w:t xml:space="preserve">. “The opinion of the ancients,” he says, “although it is not accepted at this time, because theologians almost agree that demons pay all the punishments of their damnation, which are called essential, it is not an error, much less heresy, to assert that the devil and his angels are not yet tormented by the final and greatest punishment, or experience the fire whose power is the sum of their damnation as to sensation and suffering.” Cajetan says the </w:t>
      </w:r>
      <w:r>
        <w:lastRenderedPageBreak/>
        <w:t>same: “It is certain that Cajetan’s opinion is not contrary to the Catholic faith. For neither Scripture nor any council has yet taught that demons suffer those final punishments which the judge himself says are prepared for them.” Hence the learned editor of the works of Saint Irenaeus, D. Renatus Massuet, in dissertation 3, article 9, holds that the charge made by Grabius is manifestly false and that he was constrained to condemn the Roman Church for daring *to depart in this matter, as in others, from the opinion of the holy Fathers and their own founders, Peter and Paul.*</w:t>
      </w:r>
    </w:p>
    <w:p w14:paraId="7109C8ED" w14:textId="77777777" w:rsidR="005C2B3E" w:rsidRDefault="00000000">
      <w:pPr>
        <w:ind w:firstLine="360"/>
      </w:pPr>
      <w:r>
        <w:t>Moreover, the holy Fathers, while they reject the punishment of fire until the final judgment, should not therefore be thought to exempt the devil from all torment in the meantime. This is proven by these words of Saint Hilary</w:t>
      </w:r>
      <w:r>
        <w:fldChar w:fldCharType="begin"/>
      </w:r>
      <w:r>
        <w:instrText xml:space="preserve"> XE "Hilary" \f "Persons"</w:instrText>
      </w:r>
      <w:r>
        <w:fldChar w:fldCharType="end"/>
      </w:r>
      <w:r>
        <w:t xml:space="preserve">: “At the coming of the Lord,” he says in Psalm 143, “the power of the devil is broken and crushed, being subjected to the faith of holy men, not that he does not still have the greatest strength of his power, but because he is subjected in some way, by the condition of present subjection he is prepared for rightful vengeance and punishment: so now, touched by this same subjection, he smokes, although he is not yet wholly burned; but from what he has been able to smoke in the meantime, he is known to be able to be burned.” To these we can add what the same Hilary says in book </w:t>
      </w:r>
      <w:r>
        <w:rPr>
          <w:i/>
        </w:rPr>
        <w:t>Against Constantius</w:t>
      </w:r>
      <w:r>
        <w:t xml:space="preserve">, number 8, that demons howl at the </w:t>
      </w:r>
      <w:r>
        <w:rPr>
          <w:i/>
        </w:rPr>
        <w:t>venerable bones of the martyrs, and burn without fire:</w:t>
      </w:r>
      <w:r>
        <w:t xml:space="preserve"> which many other ancient writers have testified to, as learned notes on this passage of Saint Hilary prove.</w:t>
      </w:r>
    </w:p>
    <w:p w14:paraId="1F6E184C" w14:textId="77777777" w:rsidR="005C2B3E" w:rsidRDefault="00000000">
      <w:pPr>
        <w:ind w:firstLine="360"/>
      </w:pPr>
      <w:r>
        <w:t xml:space="preserve">VI. The holy martyr by no means rejects the torment of demons and evil men only at the final judgment. However, it might seem that he rejects it based on the testimonies cited above, in which he joins evil men with demons and decides that the punishments of fire are prepared for both. But elsewhere he clearly states that only the souls of the wicked are tormented. Thus he says in </w:t>
      </w:r>
      <w:r>
        <w:rPr>
          <w:i/>
        </w:rPr>
        <w:t>Cohort</w:t>
      </w:r>
      <w:r>
        <w:t xml:space="preserve">, number 35: “You will not sin against your ancestors if you now take the opposite side of their error; it is indeed likely that they are now mourning in hell, led by late repentance; and if it were possible for them to send you news of what happened to them after the end of this life, you would surely know by what great evils they want to free you.” And in </w:t>
      </w:r>
      <w:r>
        <w:rPr>
          <w:i/>
        </w:rPr>
        <w:t>Apology</w:t>
      </w:r>
      <w:r>
        <w:t xml:space="preserve"> 1, number 12: “But we are helpers and supporters of all men, especially for peace, who teach that it is absolutely impossible for God to be hidden from the wicked, or the greedy, or the schemer, or the one endowed with power, and for each to go forth forever to either punishment or salvation according to the merits of their actions.” And number 20: “And since we say that the souls of the wicked are punished even after death, and that the souls of the good are clearly free from punishments, we will seem to say the same as poets and philosophers.” It is clear that Justin</w:t>
      </w:r>
      <w:r>
        <w:fldChar w:fldCharType="begin"/>
      </w:r>
      <w:r>
        <w:instrText xml:space="preserve"> XE "Justin" \f "Persons"</w:instrText>
      </w:r>
      <w:r>
        <w:fldChar w:fldCharType="end"/>
      </w:r>
      <w:r>
        <w:t xml:space="preserve"> is speaking about the state of souls before the resurrection and already pronounces the wicked as subjected to torments. Likewise, that old Christian, whose testimony I cited above, said that the souls of the wicked await judgment in a worse place. Therefore, when Justin says that </w:t>
      </w:r>
      <w:r>
        <w:lastRenderedPageBreak/>
        <w:t>evil men will be subjected with demons to eternal fire after the final judgment, this must be understood of that new state in which not only the soul but also the body with the soul will be tormented.</w:t>
      </w:r>
    </w:p>
    <w:p w14:paraId="5DA6DA2C" w14:textId="77777777" w:rsidR="005C2B3E" w:rsidRDefault="00000000">
      <w:pPr>
        <w:ind w:firstLine="360"/>
      </w:pPr>
      <w:r>
        <w:t>The very opinion of Justin</w:t>
      </w:r>
      <w:r>
        <w:fldChar w:fldCharType="begin"/>
      </w:r>
      <w:r>
        <w:instrText xml:space="preserve"> XE "Justin" \f "Persons"</w:instrText>
      </w:r>
      <w:r>
        <w:fldChar w:fldCharType="end"/>
      </w:r>
      <w:r>
        <w:t xml:space="preserve"> about the coming of Christ to defeat the Antichrist, </w:t>
      </w:r>
      <w:r>
        <w:rPr>
          <w:i/>
        </w:rPr>
        <w:t>and to send him and those who obey him into the lake of fire</w:t>
      </w:r>
      <w:r>
        <w:t>, as Irenaeus</w:t>
      </w:r>
      <w:r>
        <w:fldChar w:fldCharType="begin"/>
      </w:r>
      <w:r>
        <w:instrText xml:space="preserve"> XE "Irenaeus" \f "Persons"</w:instrText>
      </w:r>
      <w:r>
        <w:fldChar w:fldCharType="end"/>
      </w:r>
      <w:r>
        <w:t xml:space="preserve"> says in book iv, chapter 30, is proof that he recognized that the punishments of fire had been inflicted on evil men before the final judgment.</w:t>
      </w:r>
    </w:p>
    <w:p w14:paraId="650CBD86" w14:textId="77777777" w:rsidR="005C2B3E" w:rsidRDefault="00000000">
      <w:pPr>
        <w:pStyle w:val="Heading3"/>
      </w:pPr>
      <w:r>
        <w:t>CHAPTER 12</w:t>
      </w:r>
    </w:p>
    <w:p w14:paraId="34CF9AF7" w14:textId="77777777" w:rsidR="005C2B3E" w:rsidRDefault="00000000">
      <w:pPr>
        <w:pStyle w:val="Heading4"/>
      </w:pPr>
      <w:r>
        <w:t>ON THOSE THINGS THAT PERTAIN TO THE KINGDOM OF A THOUSAND YEARS</w:t>
      </w:r>
    </w:p>
    <w:p w14:paraId="1B78D50B" w14:textId="77777777" w:rsidR="005C2B3E" w:rsidRDefault="00000000">
      <w:pPr>
        <w:spacing w:before="180" w:after="0"/>
        <w:ind w:left="720" w:right="320" w:hanging="360"/>
      </w:pPr>
      <w:r>
        <w:t>On the state of souls until the resurrection, the opinion of Justin</w:t>
      </w:r>
      <w:r>
        <w:fldChar w:fldCharType="begin"/>
      </w:r>
      <w:r>
        <w:instrText xml:space="preserve"> XE "Justin" \f "Persons"</w:instrText>
      </w:r>
      <w:r>
        <w:fldChar w:fldCharType="end"/>
      </w:r>
      <w:r>
        <w:t>. II. On the Antichrist. III. On the coming of Elijah and the conversion of the Jews. IV. On the second coming of Christ. Thus speaks Justin, as if the judgment will happen immediately. V. Justin admits nothing that does not agree with resurrected bodies.</w:t>
      </w:r>
    </w:p>
    <w:p w14:paraId="0591BC46" w14:textId="77777777" w:rsidR="005C2B3E" w:rsidRDefault="00000000">
      <w:r>
        <w:t>I. The very famous opinion of the Millenarians, which Justin</w:t>
      </w:r>
      <w:r>
        <w:fldChar w:fldCharType="begin"/>
      </w:r>
      <w:r>
        <w:instrText xml:space="preserve"> XE "Justin" \f "Persons"</w:instrText>
      </w:r>
      <w:r>
        <w:fldChar w:fldCharType="end"/>
      </w:r>
      <w:r>
        <w:t xml:space="preserve"> upheld second after Papias</w:t>
      </w:r>
      <w:r>
        <w:fldChar w:fldCharType="begin"/>
      </w:r>
      <w:r>
        <w:instrText xml:space="preserve"> XE "Papias" \f "Persons"</w:instrText>
      </w:r>
      <w:r>
        <w:fldChar w:fldCharType="end"/>
      </w:r>
      <w:r>
        <w:t>, contains many comments of opinions, some of which should not be attributed to the holy martyr, others cannot be rejected by him. The Millenarians are accused because they deny the saints the vision of God before the general resurrection of all; because they say that before this general resurrection all the just will return to this life and will live with Christ in Jerusalem for a thousand years; because in this earthly kingdom of Christ they will observe circumcision and Sabbaths, and will enjoy the greatest abundance of even bodily pleasures. We must consider what Justin held on these matters; nor should it be omitted whether this error, which he shares with many Fathers, should be regarded as so serious that it diminishes the authority of their testimony in other matters.</w:t>
      </w:r>
    </w:p>
    <w:p w14:paraId="42F08286" w14:textId="77777777" w:rsidR="005C2B3E" w:rsidRDefault="00000000">
      <w:pPr>
        <w:ind w:firstLine="360"/>
      </w:pPr>
      <w:r>
        <w:t>What Justin</w:t>
      </w:r>
      <w:r>
        <w:fldChar w:fldCharType="begin"/>
      </w:r>
      <w:r>
        <w:instrText xml:space="preserve"> XE "Justin" \f "Persons"</w:instrText>
      </w:r>
      <w:r>
        <w:fldChar w:fldCharType="end"/>
      </w:r>
      <w:r>
        <w:t xml:space="preserve"> said about the state of the saints before the Incarnation, some have wrongly thought was said about those who died after Christ’s ascension. When the holy martyr was convinced that the soul of Samuel had truly been summoned by the art of magic, he concluded from this that the souls of the just were not yet free from all dominion of evil powers before the Incarnation. “It is clear,” he says in </w:t>
      </w:r>
      <w:r>
        <w:rPr>
          <w:i/>
        </w:rPr>
        <w:t>Dialog</w:t>
      </w:r>
      <w:r>
        <w:t xml:space="preserve">, no. 105, “that the souls of such just men and prophets fell under the power of such forces, a power which is also shown in that ventriloquist.” Certainly an absurd opinion, but it would be much more absurd if, which neither Justin nor others who said similar things should be charged with, this power of evil were attributed to the saints so that they were tormented and punished at its will. From Justin’s words only this is gathered: that </w:t>
      </w:r>
      <w:r>
        <w:lastRenderedPageBreak/>
        <w:t>demons, sometimes by God’s permission, were allowed to affect the souls of the saints, just as once the devil was allowed into the body of Christ himself, not without Christ’s permission.</w:t>
      </w:r>
    </w:p>
    <w:p w14:paraId="1FCC3842" w14:textId="77777777" w:rsidR="005C2B3E" w:rsidRDefault="00000000">
      <w:pPr>
        <w:ind w:firstLine="360"/>
      </w:pPr>
      <w:r>
        <w:t>As for the saints who died after Christ’s ascension, Justin</w:t>
      </w:r>
      <w:r>
        <w:fldChar w:fldCharType="begin"/>
      </w:r>
      <w:r>
        <w:instrText xml:space="preserve"> XE "Justin" \f "Persons"</w:instrText>
      </w:r>
      <w:r>
        <w:fldChar w:fldCharType="end"/>
      </w:r>
      <w:r>
        <w:t xml:space="preserve"> was indeed very forceful in refuting those heretics who said that souls, as soon as they were separated from the body, were carried up to the heavens, so that they would not at all approach beatitude, nor retain any hope or desire for resurrection. Thus he says in </w:t>
      </w:r>
      <w:r>
        <w:rPr>
          <w:i/>
        </w:rPr>
        <w:t>Dialog</w:t>
      </w:r>
      <w:r>
        <w:t xml:space="preserve">, no. 80: “If you meet some who are called Christians but hold none of these things, and even dare to blaspheme the God of Abraham, Isaac, and Jacob, and say there is no resurrection of the dead, but that as soon as they die their souls are taken up into heaven, beware lest you think them Christians.” This opinion that souls fly immediately to heaven does not seem to be the main heretical error to Justin; rather, his chief indignation arose because they spoke this out of hatred for the resurrection and the Creator. In the </w:t>
      </w:r>
      <w:r>
        <w:rPr>
          <w:i/>
        </w:rPr>
        <w:t>Acts of the martyrdom of St. Justin</w:t>
      </w:r>
      <w:r>
        <w:t xml:space="preserve"> we read: “Then the prefect, turning to Justin, said: ‘Listen, you who are said to be eloquent and think you hold the true teaching. If you are beaten with whips and punished with death, do you believe you will go up to heaven?’ To which Justin said: ‘I hope to have what those who have kept the teachings of Christ have, if I endure what you say. For I know that divine grace is preserved for all who have lived so, until the whole world is completed.’” To this the prefect Rusticus said: “So you think you will go up to heaven, receiving some reward?” Justin replied: “I do not think so, but I know it and hold it so certain that I do not doubt.” It is not hard to notice the difference between the prefect’s question and Justin’s answer. The prefect thought the martyrs hoped to fly immediately to heaven, and wanted to know if Justin held the same hope. Justin clearly rejects that reward for the time of resurrection, and says that “divine grace is preserved until the whole world is completed.”</w:t>
      </w:r>
    </w:p>
    <w:p w14:paraId="7896ECD4" w14:textId="77777777" w:rsidR="005C2B3E" w:rsidRDefault="00000000">
      <w:pPr>
        <w:ind w:firstLine="360"/>
      </w:pPr>
      <w:r>
        <w:t>But wherever Justin</w:t>
      </w:r>
      <w:r>
        <w:fldChar w:fldCharType="begin"/>
      </w:r>
      <w:r>
        <w:instrText xml:space="preserve"> XE "Justin" \f "Persons"</w:instrText>
      </w:r>
      <w:r>
        <w:fldChar w:fldCharType="end"/>
      </w:r>
      <w:r>
        <w:t xml:space="preserve"> places the souls of the saints before the resurrection, even then he clearly declares that they enjoy eternal beatitude and the vision of God in both </w:t>
      </w:r>
      <w:r>
        <w:rPr>
          <w:i/>
        </w:rPr>
        <w:t>Apologies</w:t>
      </w:r>
      <w:r>
        <w:t xml:space="preserve">. For he gives this reason why Christians gladly face death for Christ in </w:t>
      </w:r>
      <w:r>
        <w:rPr>
          <w:i/>
        </w:rPr>
        <w:t>Apol</w:t>
      </w:r>
      <w:r>
        <w:t xml:space="preserve">, 1, no. 8: “We do not want to live bound by lies. For eager for eternal and pure life, we strive toward the home promised with God the Father and Creator of all, and we hasten to confess, since we are convinced and believe that these goods can be gained by those who have testified to God by their deeds that they have followed him and loved that home with him, where no vice resists.” In the previous chapter I reported two other testimonies from the same </w:t>
      </w:r>
      <w:r>
        <w:rPr>
          <w:i/>
        </w:rPr>
        <w:t>Apology</w:t>
      </w:r>
      <w:r>
        <w:t xml:space="preserve">, in one of which he says that from this life “each one proceeds to eternal punishment or salvation according to the merits of their actions”; in the other he declares that the souls of the good, departing from the body, are blessed. In </w:t>
      </w:r>
      <w:r>
        <w:rPr>
          <w:i/>
        </w:rPr>
        <w:t>Apol</w:t>
      </w:r>
      <w:r>
        <w:t xml:space="preserve">, 2, no. 2, speaking of the martyr Lucius, who was snatched away to punishment, he says: “But he gave thanks, knowing that he was departing from such wicked masters to the Father and King of heaven.” See no. 4. Justin was not alone </w:t>
      </w:r>
      <w:r>
        <w:lastRenderedPageBreak/>
        <w:t xml:space="preserve">among those who admit the thousand-year kingdom in feeling this way. The author of the </w:t>
      </w:r>
      <w:r>
        <w:rPr>
          <w:i/>
        </w:rPr>
        <w:t>Trenæ</w:t>
      </w:r>
      <w:r>
        <w:t xml:space="preserve"> seems to hold martyrs in special honor. Thus he speaks of them in book iv, chapter 33, no. 9: “The Church everywhere, because of the love it has for God, sends ahead a multitude of martyrs to the Father.” About all the saints Lactantius</w:t>
      </w:r>
      <w:r>
        <w:fldChar w:fldCharType="begin"/>
      </w:r>
      <w:r>
        <w:instrText xml:space="preserve"> XE "Lactantius" \f "Persons"</w:instrText>
      </w:r>
      <w:r>
        <w:fldChar w:fldCharType="end"/>
      </w:r>
      <w:r>
        <w:t xml:space="preserve"> says in book iii, chapter 12: “Those, however,” he says, “who argue about the immortality of the soul ought to understand that virtue was proposed to us so that, with lusts conquered and the desire for earthly things overcome, pure and victorious souls return to God, that is, to their origin.” St</w:t>
      </w:r>
      <w:r>
        <w:fldChar w:fldCharType="begin"/>
      </w:r>
      <w:r>
        <w:instrText xml:space="preserve"> XE "St" \f "Persons"</w:instrText>
      </w:r>
      <w:r>
        <w:fldChar w:fldCharType="end"/>
      </w:r>
      <w:r>
        <w:t>. Methodius, who adopts the thousand-year kingdom in his ninth oration, clearly promises heaven to virgins freed from the body in the eighth.</w:t>
      </w:r>
    </w:p>
    <w:p w14:paraId="51086B57" w14:textId="77777777" w:rsidR="005C2B3E" w:rsidRDefault="00000000">
      <w:pPr>
        <w:ind w:firstLine="360"/>
      </w:pPr>
      <w:r>
        <w:t>II. Concerning the kingdom of a thousand years, some things must be noted and distinguished regarding this outcome, which has been wrongly expected, so that the teaching of Justin, which is by no means set out in order but scattered in various places, may be gathered and made clear.</w:t>
      </w:r>
    </w:p>
    <w:p w14:paraId="4B0AB8DA" w14:textId="77777777" w:rsidR="005C2B3E" w:rsidRDefault="00000000">
      <w:pPr>
        <w:ind w:firstLine="360"/>
      </w:pPr>
      <w:r>
        <w:t>Before Christ comes gloriously from the clouds, it was thought that the Antichrist would cruelly rule on earth and devise terrible evils and punishments for the servants of God. Justin</w:t>
      </w:r>
      <w:r>
        <w:fldChar w:fldCharType="begin"/>
      </w:r>
      <w:r>
        <w:instrText xml:space="preserve"> XE "Justin" \f "Persons"</w:instrText>
      </w:r>
      <w:r>
        <w:fldChar w:fldCharType="end"/>
      </w:r>
      <w:r>
        <w:t xml:space="preserve"> already believed that he was near the gates, </w:t>
      </w:r>
      <w:r>
        <w:rPr>
          <w:i/>
        </w:rPr>
        <w:t>Dialog</w:t>
      </w:r>
      <w:r>
        <w:t xml:space="preserve">, no. 32. From this it follows that the coming of Christ was by no means delayed for a long time. For the kingdom of the Antichrist lasts three years and six months, ibid. Then he asserts that Christ will come from heaven with glory, </w:t>
      </w:r>
      <w:r>
        <w:rPr>
          <w:i/>
        </w:rPr>
        <w:t>when the man of apostasy, speaking great things even against the Most High on earth, will dare to do wicked things against us Christians</w:t>
      </w:r>
      <w:r>
        <w:t>, no. 110. We have the same in Irenaeus, book v, chapter 30, number 4: “When the Antichrist has devastated everything in this world, reigning for three years and six months, and has sat in the temple of Jerusalem, then the Lord will come from the heavens in the clouds, in the glory of the Father, casting him and those who obey him into the lake of fire; but bringing to the just the times of the kingdom, that is, rest, sanctifying the seventh day, and restoring to Abraham the promise of inheritance: in that kingdom, the Lord says, many will come from the East and West to recline with Abraham, Isaac, and Jacob.” But between the kingdom of the Antichrist and the coming of Christ, two notable events intervene: the mission of Elijah and the conversion of the Jews.</w:t>
      </w:r>
    </w:p>
    <w:p w14:paraId="756271A3" w14:textId="77777777" w:rsidR="005C2B3E" w:rsidRDefault="00000000">
      <w:pPr>
        <w:ind w:firstLine="360"/>
      </w:pPr>
      <w:r>
        <w:t>Although Justin</w:t>
      </w:r>
      <w:r>
        <w:fldChar w:fldCharType="begin"/>
      </w:r>
      <w:r>
        <w:instrText xml:space="preserve"> XE "Justin" \f "Persons"</w:instrText>
      </w:r>
      <w:r>
        <w:fldChar w:fldCharType="end"/>
      </w:r>
      <w:r>
        <w:t xml:space="preserve"> does not hide from the Jews whatever their stubborn minds rightly heard in error, nowhere does he reproach them for that final crime, by worshiping the Antichrist and submitting themselves to his laws, which they were almost ready to commit. Irenaeus</w:t>
      </w:r>
      <w:r>
        <w:fldChar w:fldCharType="begin"/>
      </w:r>
      <w:r>
        <w:instrText xml:space="preserve"> XE "Irenaeus" \f "Persons"</w:instrText>
      </w:r>
      <w:r>
        <w:fldChar w:fldCharType="end"/>
      </w:r>
      <w:r>
        <w:t xml:space="preserve"> expresses this in clear words, book iii, chapter 25, number 4: “And the Lord also said this to those who did not believe in him: </w:t>
      </w:r>
      <w:r>
        <w:rPr>
          <w:i/>
        </w:rPr>
        <w:t>I came in the name of my Father and you did not receive me; when another comes in his own name, you will receive him;</w:t>
      </w:r>
      <w:r>
        <w:t xml:space="preserve"> calling another the Antichrist who is alien to the Lord, and </w:t>
      </w:r>
      <w:r>
        <w:lastRenderedPageBreak/>
        <w:t xml:space="preserve">he himself is an unjust judge, who was called by the Lord because </w:t>
      </w:r>
      <w:r>
        <w:rPr>
          <w:i/>
        </w:rPr>
        <w:t>he did not fear God</w:t>
      </w:r>
      <w:r>
        <w:t xml:space="preserve"> nor respect man, to whom the widow, forgetting God, fled to the earthly Jerusalem to take revenge on the enemy. And he will do this in the time of his reign: he will transfer the kingdom to her and sit in the temple of God, deceiving those who worship him, as if he himself were Christ.” According to Jerome</w:t>
      </w:r>
      <w:r>
        <w:fldChar w:fldCharType="begin"/>
      </w:r>
      <w:r>
        <w:instrText xml:space="preserve"> XE "Jerome" \f "Persons"</w:instrText>
      </w:r>
      <w:r>
        <w:fldChar w:fldCharType="end"/>
      </w:r>
      <w:r>
        <w:t xml:space="preserve">, the Millennial Jews were thought to follow the Antichrist and then abandon him. For they referred that passage from Hosea, </w:t>
      </w:r>
      <w:r>
        <w:rPr>
          <w:i/>
        </w:rPr>
        <w:t>I will seduce her</w:t>
      </w:r>
      <w:r>
        <w:t>, from chapter ii, 14, *to the time of the Antichrist, so that those who did not receive the truth of Christ might receive his falsehood, and later be saved when Christ comes.*</w:t>
      </w:r>
    </w:p>
    <w:p w14:paraId="5CAE7060" w14:textId="77777777" w:rsidR="005C2B3E" w:rsidRDefault="00000000">
      <w:pPr>
        <w:ind w:firstLine="360"/>
      </w:pPr>
      <w:r>
        <w:t>III. This conversion of the Jews and the mission of Elijah are clearly mentioned by St</w:t>
      </w:r>
      <w:r>
        <w:fldChar w:fldCharType="begin"/>
      </w:r>
      <w:r>
        <w:instrText xml:space="preserve"> XE "St" \f "Persons"</w:instrText>
      </w:r>
      <w:r>
        <w:fldChar w:fldCharType="end"/>
      </w:r>
      <w:r>
        <w:t>. Justin</w:t>
      </w:r>
      <w:r>
        <w:fldChar w:fldCharType="begin"/>
      </w:r>
      <w:r>
        <w:instrText xml:space="preserve"> XE "Justin" \f "Persons"</w:instrText>
      </w:r>
      <w:r>
        <w:fldChar w:fldCharType="end"/>
      </w:r>
      <w:r>
        <w:t xml:space="preserve"> for carrying out this work. He explains that Elijah will come with glory and splendor, so that just as his spirit was in John</w:t>
      </w:r>
      <w:r>
        <w:fldChar w:fldCharType="begin"/>
      </w:r>
      <w:r>
        <w:instrText xml:space="preserve"> XE "John" \f "Persons"</w:instrText>
      </w:r>
      <w:r>
        <w:fldChar w:fldCharType="end"/>
      </w:r>
      <w:r>
        <w:t xml:space="preserve">, the humble forerunner of the first coming, so he himself will be the forerunner of the second and glorious coming. When he said to Trypho that Christ had not yet come because Elijah, who would anoint him, had not yet come, Justin replies that </w:t>
      </w:r>
      <w:r>
        <w:rPr>
          <w:i/>
        </w:rPr>
        <w:t>Elijah will be the forerunner of the terrible and great day, that is, the second coming.</w:t>
      </w:r>
      <w:r>
        <w:t xml:space="preserve"> “And this very thing,” he says, ii. 49, “our Lord declared would happen among the things he taught, when he also said that Elijah would come. We know this will happen when our Lord Jesus Christ comes gloriously from heaven; indeed, the Spirit of God who was in Elijah went before the first coming in John, the prophet of your race.” And a little later: “Just as when Moses was still among men, God transferred into Jesus the spirit that was in Moses; so God could transfer from Elijah into John; so that just as Christ appeared inglorious at the first coming, so also the spirit that remained pure and whole in Elijah was understood as the inglorious first coming of Christ.”</w:t>
      </w:r>
    </w:p>
    <w:p w14:paraId="2B19FDF3" w14:textId="77777777" w:rsidR="005C2B3E" w:rsidRDefault="00000000">
      <w:pPr>
        <w:ind w:firstLine="360"/>
      </w:pPr>
      <w:r>
        <w:t>This ministry of Elijah seemed primarily intended for the conversion of the Jews. For Justin</w:t>
      </w:r>
      <w:r>
        <w:fldChar w:fldCharType="begin"/>
      </w:r>
      <w:r>
        <w:instrText xml:space="preserve"> XE "Justin" \f "Persons"</w:instrText>
      </w:r>
      <w:r>
        <w:fldChar w:fldCharType="end"/>
      </w:r>
      <w:r>
        <w:t xml:space="preserve"> had no doubt that Christ, when coming, would receive the Jews and make them sharers of the promises along with other faithful people in the city of Jerusalem. “With these words,” he says, number 33, </w:t>
      </w:r>
      <w:r>
        <w:rPr>
          <w:i/>
        </w:rPr>
        <w:t>The Lord has sworn and will not regret it; you are a priest forever according to the order of Melchizedek,</w:t>
      </w:r>
      <w:r>
        <w:t xml:space="preserve"> God declared by an oath, because of your unbelief, that that priest is according to the order of Melchizedek: that is, just as Melchizedek was written by Moses to be the priest of the Most High, and he was the priest of those who were uncircumcised, and blessed Abraham who offered him tithes at circumcision; so God declared that his eternal priest, who was also called Lord by the Holy Spirit, would be the priest of those who are uncircumcised, and would receive those who are circumcised coming to him, that is, believing in him and seeking blessing from him, and would bless them.” Tertullian</w:t>
      </w:r>
      <w:r>
        <w:fldChar w:fldCharType="begin"/>
      </w:r>
      <w:r>
        <w:instrText xml:space="preserve"> XE "Tertullian" \f "Persons"</w:instrText>
      </w:r>
      <w:r>
        <w:fldChar w:fldCharType="end"/>
      </w:r>
      <w:r>
        <w:t>, cited at this place, understood these things about the future conversion of the Jewish people.</w:t>
      </w:r>
    </w:p>
    <w:p w14:paraId="1F301C69" w14:textId="77777777" w:rsidR="005C2B3E" w:rsidRDefault="00000000">
      <w:pPr>
        <w:ind w:firstLine="360"/>
      </w:pPr>
      <w:r>
        <w:lastRenderedPageBreak/>
        <w:t>These things can be confirmed from another passage, where Trypho, greatly pleased by what he had heard from Justin about the new earthly Jerusalem, asks whether Justin truly and sincerely spoke thus: Εἰπὲ δέ μοι· ἀληθῶς ὑμεῖς ἀνοικοδομηθῆναι τὸν τόπον Ἱερουσαλὴμ τοῦτον ὁμολογεῖτε, καὶ συναχθήσεσθαι τὸν λαὸν ὑμῶν σὺν τῷ Χριστῷ ἅμα τοῖς πατριάρχαις καὶ τοῖς προφήταις, καὶ τοῖς ἀπὸ τοῦ ἡμετέρου γένους, ἢ καὶ τῶν προσηλύτων γενομένων πρὶν ἐλθεῖν ὑμῶν τὸν Χριστὸν προσδοκᾶτε, ἢ ἵνα δόξῃς περικρατεῖν ἡμῶν ἐν ταῖς ζητήσεσι, πρὸς τὸ ταῦτα ὁμολογεῖν ἐχώρησας? “But come, tell me: Do you truly admit that this place Jerusalem will be rebuilt, and that your people will be gathered and will live happily with Christ together with the patriarchs and prophets, and with men of our race, or even with proselytes made before your Christ comes, or did you admit this in order to seem to surpass us greatly in disputes?” I had believed these words, πρὶν ἐλθεῖν ὑμῶν τὸν Χριστόν, to have been spoken about the first coming, and therefore what precedes to be understood about the Jews and their proselytes who were saved by faith before the Incarnation; but after more careful consideration, I think Trypho spoke about the second coming and about the Jewish people to be converted to Christ by the ministry of Elijah, and about those who from that people had joined Christians before that general conversion or were about to join. For what Justin had granted filled Trypho with such joy that he scarcely believed it: he suspects that Justin acted thus out of confidence in his own strength, not because he truly and sincerely thought so. But certainly, if Justin had only granted that Jerusalem would be rebuilt, but that the Jews would not enter it, but would come to ruin with the Antichrist, such an opinion should not have led Trypho to err, but rather to be inflamed with anger and fury. But since the Jews hoped that Jerusalem would be restored from the captivity into which they had fallen, and that there, with the one they imagined to be Christ, they would rule over all nations, Trypho could not but welcome whatever Justin and other Millenarians thought about the Jews being recalled to Jerusalem in accordance with this opinion. Then Trypho looks back to what Justin said, number 28, when he thus exhorted the Jews: “Do not delay, nor doubt to believe me, an uncircumcised man. For this time to come to us is short for you. If Christ comes and finds you busy, you will regret it in vain, you will weep in vain; for he will not hear you.” Keeping this in mind, Trypho adapts himself to Justin’s warnings so that he admits no one from the Jews who died or is dying before the conversion of the nations into the new Jerusalem, except one who has given the name of Christ. Therefore, his words, ἢ καὶ τῶν προσηλύτων γενομένων, are not to be taken about proselytes of the Jews before the Incarnation, but about those Jews made proselytes of Christians before the second coming and that conversion of the Jewish people under the ministry of Elijah.</w:t>
      </w:r>
    </w:p>
    <w:p w14:paraId="13BEA66A" w14:textId="77777777" w:rsidR="005C2B3E" w:rsidRDefault="00000000">
      <w:pPr>
        <w:ind w:firstLine="360"/>
      </w:pPr>
      <w:r>
        <w:t xml:space="preserve">IV. Just as concerning the wars and victories of the Antichrist, so also concerning the punishments which Christ, coming gloriously from heaven, was to exact from the </w:t>
      </w:r>
      <w:r>
        <w:lastRenderedPageBreak/>
        <w:t>Antichrist and from the kings joined with the Antichrist, we have not many things from Justin</w:t>
      </w:r>
      <w:r>
        <w:fldChar w:fldCharType="begin"/>
      </w:r>
      <w:r>
        <w:instrText xml:space="preserve"> XE "Justin" \f "Persons"</w:instrText>
      </w:r>
      <w:r>
        <w:fldChar w:fldCharType="end"/>
      </w:r>
      <w:r>
        <w:t>. Yet there is hardly any doubt that he held what Irenaeus</w:t>
      </w:r>
      <w:r>
        <w:fldChar w:fldCharType="begin"/>
      </w:r>
      <w:r>
        <w:instrText xml:space="preserve"> XE "Irenaeus" \f "Persons"</w:instrText>
      </w:r>
      <w:r>
        <w:fldChar w:fldCharType="end"/>
      </w:r>
      <w:r>
        <w:t xml:space="preserve"> and Lactantius</w:t>
      </w:r>
      <w:r>
        <w:fldChar w:fldCharType="begin"/>
      </w:r>
      <w:r>
        <w:instrText xml:space="preserve"> XE "Lactantius" \f "Persons"</w:instrText>
      </w:r>
      <w:r>
        <w:fldChar w:fldCharType="end"/>
      </w:r>
      <w:r>
        <w:t xml:space="preserve"> wrote about these wars and victories: for he says, number 39, that Christ will destroy all enemies at his glorious coming. “The crucified Christ,” he says, number 49, “makes demons and all the principalities and powers of the earth tremble utterly.” And, number 121: “Even demons are subject to his name, and all principalities and kingdoms dread his name above all the dead.” And, number 11: “For this power is and was and will be one and only, whose name all principalities dread, wasting away because through him they are to be overthrown.” See number 131.</w:t>
      </w:r>
    </w:p>
    <w:p w14:paraId="1402E1D0" w14:textId="77777777" w:rsidR="005C2B3E" w:rsidRDefault="00000000">
      <w:pPr>
        <w:ind w:firstLine="360"/>
      </w:pPr>
      <w:r>
        <w:t>It must be especially noted that Justin</w:t>
      </w:r>
      <w:r>
        <w:fldChar w:fldCharType="begin"/>
      </w:r>
      <w:r>
        <w:instrText xml:space="preserve"> XE "Justin" \f "Persons"</w:instrText>
      </w:r>
      <w:r>
        <w:fldChar w:fldCharType="end"/>
      </w:r>
      <w:r>
        <w:t xml:space="preserve">, although he places a thousand years between the second coming of Christ and the final judgment, nevertheless usually speaks as if no interval exists between the two events. To the Jews, number 35, he promises eternal salvation to those who believe </w:t>
      </w:r>
      <w:r>
        <w:rPr>
          <w:i/>
        </w:rPr>
        <w:t>at the second coming, which will be glorious;</w:t>
      </w:r>
      <w:r>
        <w:t xml:space="preserve"> to those who do not believe, he threatens eternal fire. Likewise, number 45, he says it will happen that </w:t>
      </w:r>
      <w:r>
        <w:rPr>
          <w:i/>
        </w:rPr>
        <w:t>death at the second coming of Christ will utterly cease for those who believe in him and live so as to please him, and there will be no more death, while others will be sent to judgment and condemnation to be tormented by fire forever, but others will attain a state free from suffering, corruption, and pain, and will gain immortality.</w:t>
      </w:r>
      <w:r>
        <w:t xml:space="preserve"> From this, he often recalls the late repentance and useless lamentations of the Jews who crucified Christ at the second coming. He speaks, number 14, of a double coming, at one of which the Jews who killed Christ will mourn. And, number 32, recalling what he said at number 14, he speaks thus: “If I had not explained the twofold coming of that one, one in which you will recognize him whom you pierced, and your tribes will mourn, tribe by tribe, women apart and men apart; I would seem to speak obscurely and uncertainly.” Justin does not understand the lament as that which the Jews will make when approaching Christ, but as the weeping and wailing which Christ, </w:t>
      </w:r>
      <w:r>
        <w:rPr>
          <w:i/>
        </w:rPr>
        <w:t>if he comes and finds you busy,</w:t>
      </w:r>
      <w:r>
        <w:t xml:space="preserve"> will not hear, number 28. He urges the Jews, number 118, to repent *before that great day of judgment comes, on which all who pierced Christ from their tribes will mourn.*</w:t>
      </w:r>
    </w:p>
    <w:p w14:paraId="4D9DAFF8" w14:textId="77777777" w:rsidR="005C2B3E" w:rsidRDefault="00000000">
      <w:pPr>
        <w:ind w:firstLine="360"/>
      </w:pPr>
      <w:r>
        <w:t>It seems that Justin</w:t>
      </w:r>
      <w:r>
        <w:fldChar w:fldCharType="begin"/>
      </w:r>
      <w:r>
        <w:instrText xml:space="preserve"> XE "Justin" \f "Persons"</w:instrText>
      </w:r>
      <w:r>
        <w:fldChar w:fldCharType="end"/>
      </w:r>
      <w:r>
        <w:t xml:space="preserve"> joined the final judgment with the second coming, although he separated the two, because before he adopted this teaching about the thousand-year kingdom, he was accustomed to speaking in this way, and the new opinion did not draw him away from the usual common speech. For it is unlikely that he accepted two judgments, just as Lactantius</w:t>
      </w:r>
      <w:r>
        <w:fldChar w:fldCharType="begin"/>
      </w:r>
      <w:r>
        <w:instrText xml:space="preserve"> XE "Lactantius" \f "Persons"</w:instrText>
      </w:r>
      <w:r>
        <w:fldChar w:fldCharType="end"/>
      </w:r>
      <w:r>
        <w:t xml:space="preserve"> does in book 7, chapter 20, the first at the very coming of Christ, in which </w:t>
      </w:r>
      <w:r>
        <w:rPr>
          <w:i/>
        </w:rPr>
        <w:t>only those who have lived in the religion of God will be judged,</w:t>
      </w:r>
      <w:r>
        <w:t xml:space="preserve"> and the second after a thousand years.</w:t>
      </w:r>
    </w:p>
    <w:p w14:paraId="35749AE8" w14:textId="77777777" w:rsidR="005C2B3E" w:rsidRDefault="00000000">
      <w:pPr>
        <w:ind w:firstLine="360"/>
      </w:pPr>
      <w:r>
        <w:t>I greatly doubt that Justin</w:t>
      </w:r>
      <w:r>
        <w:fldChar w:fldCharType="begin"/>
      </w:r>
      <w:r>
        <w:instrText xml:space="preserve"> XE "Justin" \f "Persons"</w:instrText>
      </w:r>
      <w:r>
        <w:fldChar w:fldCharType="end"/>
      </w:r>
      <w:r>
        <w:t xml:space="preserve"> was imbued with this opinion of an earthly kingdom when he wrote the first </w:t>
      </w:r>
      <w:r>
        <w:rPr>
          <w:i/>
        </w:rPr>
        <w:t>Apology</w:t>
      </w:r>
      <w:r>
        <w:t xml:space="preserve">. For in it I find no trace of this teaching, although there </w:t>
      </w:r>
      <w:r>
        <w:lastRenderedPageBreak/>
        <w:t xml:space="preserve">were many opportunities to discuss these matters, especially concerning the sad end of the Roman Empire, from which fear could be inspired in persecutors. Nor was Justin one to hide the truth out of fear, or to be unable to reconcile rightful freedom with due respect for the emperor. Indeed, in this </w:t>
      </w:r>
      <w:r>
        <w:rPr>
          <w:i/>
        </w:rPr>
        <w:t>Apology</w:t>
      </w:r>
      <w:r>
        <w:t xml:space="preserve"> he connects the resurrection of the good and the wicked and the final judgment with the second coming in such a way that he seems to follow not only the common speech but also the common opinion. “For the prophets foretold two comings of that one,” he says, number 52, “one which has already been shown, as a despised and suffering man; but the other, when he will come with glory from the heavens together with his angelic army, when he will also raise the bodies of all men who have existed, and he will clothe the bodies of the worthy with incorruption, but will cast the bodies of the wicked into eternal fire with the evil demons in perpetual torment.”</w:t>
      </w:r>
    </w:p>
    <w:p w14:paraId="556779A4" w14:textId="77777777" w:rsidR="005C2B3E" w:rsidRDefault="00000000">
      <w:pPr>
        <w:ind w:firstLine="360"/>
      </w:pPr>
      <w:r>
        <w:t>Neither Irenaeus</w:t>
      </w:r>
      <w:r>
        <w:fldChar w:fldCharType="begin"/>
      </w:r>
      <w:r>
        <w:instrText xml:space="preserve"> XE "Irenaeus" \f "Persons"</w:instrText>
      </w:r>
      <w:r>
        <w:fldChar w:fldCharType="end"/>
      </w:r>
      <w:r>
        <w:t xml:space="preserve"> nor Lactantius</w:t>
      </w:r>
      <w:r>
        <w:fldChar w:fldCharType="begin"/>
      </w:r>
      <w:r>
        <w:instrText xml:space="preserve"> XE "Lactantius" \f "Persons"</w:instrText>
      </w:r>
      <w:r>
        <w:fldChar w:fldCharType="end"/>
      </w:r>
      <w:r>
        <w:t xml:space="preserve"> said where Christ will judge all people. But Justin</w:t>
      </w:r>
      <w:r>
        <w:fldChar w:fldCharType="begin"/>
      </w:r>
      <w:r>
        <w:instrText xml:space="preserve"> XE "Justin" \f "Persons"</w:instrText>
      </w:r>
      <w:r>
        <w:fldChar w:fldCharType="end"/>
      </w:r>
      <w:r>
        <w:t xml:space="preserve"> did not keep silent about this. For he says in the </w:t>
      </w:r>
      <w:r>
        <w:rPr>
          <w:i/>
        </w:rPr>
        <w:t>Dialogue</w:t>
      </w:r>
      <w:r>
        <w:t xml:space="preserve">, number 40, that it will happen </w:t>
      </w:r>
      <w:r>
        <w:rPr>
          <w:i/>
        </w:rPr>
        <w:t>in the same place in Jerusalem</w:t>
      </w:r>
      <w:r>
        <w:t xml:space="preserve"> that the Jews will recognize him whom they insulted.</w:t>
      </w:r>
    </w:p>
    <w:p w14:paraId="7DB26DBA" w14:textId="77777777" w:rsidR="005C2B3E" w:rsidRDefault="00000000">
      <w:pPr>
        <w:ind w:firstLine="360"/>
      </w:pPr>
      <w:r>
        <w:t>V. It does not take much effort to reject from Justin</w:t>
      </w:r>
      <w:r>
        <w:fldChar w:fldCharType="begin"/>
      </w:r>
      <w:r>
        <w:instrText xml:space="preserve"> XE "Justin" \f "Persons"</w:instrText>
      </w:r>
      <w:r>
        <w:fldChar w:fldCharType="end"/>
      </w:r>
      <w:r>
        <w:t>, Irenaeus</w:t>
      </w:r>
      <w:r>
        <w:fldChar w:fldCharType="begin"/>
      </w:r>
      <w:r>
        <w:instrText xml:space="preserve"> XE "Irenaeus" \f "Persons"</w:instrText>
      </w:r>
      <w:r>
        <w:fldChar w:fldCharType="end"/>
      </w:r>
      <w:r>
        <w:t xml:space="preserve">, and others of this kind whatever was most faulty in the opinion of an earthly kingdom, such as Sabbaths, sacrifices, circumcision, and bodily pleasures. However, since some, including Tillemont in volume II, p. 424, deny that they excluded the necessity of eating and drinking in this state, this matter should not be lightly passed over. Justin says in the </w:t>
      </w:r>
      <w:r>
        <w:rPr>
          <w:i/>
        </w:rPr>
        <w:t>Dialogue</w:t>
      </w:r>
      <w:r>
        <w:t xml:space="preserve">, number 51, that Christ foretold </w:t>
      </w:r>
      <w:r>
        <w:rPr>
          <w:i/>
        </w:rPr>
        <w:t>that he must suffer many things from the Scribes and Pharisees, be crucified, and rise on the third day, and that it would happen that he would come again to Jerusalem, and then eat and drink together with his disciples, and meanwhile, while he was coming, false priests and prophets would arise in his name.</w:t>
      </w:r>
      <w:r>
        <w:t xml:space="preserve"> When I read that Christ will eat and drink together with his disciples, I do not fear that Justin binds the resurrected righteous to a daily need for food and drink; rather, I understand spiritual delights, by which he thought Christ would nourish the righteous in the new Jerusalem. For he understands spiritually that of Christ, number 120: </w:t>
      </w:r>
      <w:r>
        <w:rPr>
          <w:i/>
        </w:rPr>
        <w:t>For they will come from the East and the West and recline with Abraham, Isaac, and Jacob in the kingdom of heaven.</w:t>
      </w:r>
      <w:r>
        <w:t xml:space="preserve"> He promises a life free from all corruption in this earthly kingdom, number 24, where he speaks thus: “Come to me, all who fear God, who desire to see the good things of Jerusalem. Come, let us approach the light of the Lord; for he has delivered his people, the house of Jacob. Come, all nations, let us gather in Jerusalem, which will no longer be besieged because of the sins of the peoples.” And, number 139: “Christ, according to the power given to him by the almighty Father, came and called to friendship, blessing, repentance, and fellowship, promising a future possession of all the saints in the same land, as has already been shown. Therefore, wherever you are from, whether servants or free, believing in Christ </w:t>
      </w:r>
      <w:r>
        <w:lastRenderedPageBreak/>
        <w:t xml:space="preserve">and recognizing the truth of what was handed down then by him and by the prophets, you know that you will be with him in that land and will receive eternal and incorruptible goods as an inheritance.” Many have completely misinterpreted the opinion of the Millenarians, while paying less attention to the testimonies of Scripture, in which an abundance of all things necessary for life and worship, and a great multitude of children, are promised, understood by the Fathers in such a way that they attributed spiritual goods to the resurrected righteous, and bodily goods to those whom Christ will find alive on earth. See the note at number 81. This distinction is clear in Irenaeus, who, in book 5, chapter 35, number 1, insists that the testimonies of Scripture </w:t>
      </w:r>
      <w:r>
        <w:rPr>
          <w:i/>
        </w:rPr>
        <w:t>about the resurrection of the righteous</w:t>
      </w:r>
      <w:r>
        <w:t xml:space="preserve"> are spoken without controversy, which happens after the coming of the Antichrist, and those whom the Lord will find in the flesh, waiting for him from the heavens, and having endured tribulation, who also escaped the hands of the wicked. These are the ones of whom the prophet says: “And the forsaken shall increase in the land.” It is beyond doubt that he also attributes to the last those things that follow in Isaiah 65:21, which had been cited a little earlier by Irenaeus: </w:t>
      </w:r>
      <w:r>
        <w:rPr>
          <w:i/>
        </w:rPr>
        <w:t>“And they shall build houses and inhabit them, and plant vineyards and eat their fruit.”</w:t>
      </w:r>
      <w:r>
        <w:t xml:space="preserve"> Therefore, what Irenaeus says about the righteous drinking with Christ from the vine stock, chapter 33, number 1, seems to me not so much to indicate the daily use of food and drink to support need, but the ability to eat and drink as Christ had after the resurrection, to confirm the reality of the flesh.</w:t>
      </w:r>
    </w:p>
    <w:p w14:paraId="41288104" w14:textId="77777777" w:rsidR="005C2B3E" w:rsidRDefault="00000000">
      <w:pPr>
        <w:pStyle w:val="Heading3"/>
      </w:pPr>
      <w:r>
        <w:t>CHAPTER 13</w:t>
      </w:r>
    </w:p>
    <w:p w14:paraId="49EA4773" w14:textId="77777777" w:rsidR="005C2B3E" w:rsidRDefault="00000000">
      <w:pPr>
        <w:pStyle w:val="Heading4"/>
      </w:pPr>
      <w:r>
        <w:t>ON SOME THINGS WRONGLY CRITICIZED IN JUSTIN; AND WHETHER THOSE THINGS RIGHTLY CRITICIZED DIMINISH HIS AUTHORITY IN OTHER MATTERS</w:t>
      </w:r>
    </w:p>
    <w:p w14:paraId="3BC3EE2E" w14:textId="77777777" w:rsidR="005C2B3E" w:rsidRDefault="00000000">
      <w:pPr>
        <w:spacing w:before="180" w:after="0"/>
        <w:ind w:left="720" w:right="320" w:hanging="360"/>
      </w:pPr>
      <w:r>
        <w:t>Some slight criticisms are briefly refuted. II. Whether Justin</w:t>
      </w:r>
      <w:r>
        <w:fldChar w:fldCharType="begin"/>
      </w:r>
      <w:r>
        <w:instrText xml:space="preserve"> XE "Justin" \f "Persons"</w:instrText>
      </w:r>
      <w:r>
        <w:fldChar w:fldCharType="end"/>
      </w:r>
      <w:r>
        <w:t xml:space="preserve"> rightly praised the martyrs who offered themselves. III. Some errors of Justin should not diminish his authority. IV. The opinion about the thousand-year kingdom is wrongly objected to overturn tradition.</w:t>
      </w:r>
    </w:p>
    <w:p w14:paraId="669527A9" w14:textId="77777777" w:rsidR="005C2B3E" w:rsidRDefault="00000000">
      <w:r>
        <w:t>I. It is not pleasant to waste time in refuting more fully some criticisms that reveal rather the ill will of the censor than a fault properly corrected. Barbeyracus lashes Justin</w:t>
      </w:r>
      <w:r>
        <w:fldChar w:fldCharType="begin"/>
      </w:r>
      <w:r>
        <w:instrText xml:space="preserve"> XE "Justin" \f "Persons"</w:instrText>
      </w:r>
      <w:r>
        <w:fldChar w:fldCharType="end"/>
      </w:r>
      <w:r>
        <w:t xml:space="preserve"> in his book </w:t>
      </w:r>
      <w:r>
        <w:rPr>
          <w:i/>
        </w:rPr>
        <w:t>On the Moral Doctrine of the Fathers of the Church</w:t>
      </w:r>
      <w:r>
        <w:t xml:space="preserve"> because of these words of Christ: </w:t>
      </w:r>
      <w:r>
        <w:rPr>
          <w:i/>
        </w:rPr>
        <w:t>Do not swear at all</w:t>
      </w:r>
      <w:r>
        <w:t xml:space="preserve">, strictly without any exception, in </w:t>
      </w:r>
      <w:r>
        <w:rPr>
          <w:i/>
        </w:rPr>
        <w:t>Apology</w:t>
      </w:r>
      <w:r>
        <w:t xml:space="preserve"> 1, number 16, since Justin himself left it ambiguous whether he considered an oath lawful even for the gravest cause, and whether he gave the Gentiles a place for believing that the oath was entirely abolished and forbidden by Christ. Certainly a great fault was committed by the holy martyr, and a great opportunity for error given to the Gentiles, because he did not teach those accustomed to swear by Jupiter in which places and </w:t>
      </w:r>
      <w:r>
        <w:lastRenderedPageBreak/>
        <w:t xml:space="preserve">times it is lawful to swear, and because he persuaded them that Christians obey Christ’s command, since not even the most severe tortures can force them to swear by the fortune of Caesar. Yet Justin does not seem to take Christ’s words without any exception at all. For he reports Christ’s command about swearing: Περὶ δὲ τοῦ μὴ ὀμνύναι ὅλως, τἀληθῆ δὲ λέγειν ἀεὶ, οὕτως παρεκελεύσατο· </w:t>
      </w:r>
      <w:r>
        <w:rPr>
          <w:b/>
        </w:rPr>
        <w:t>Μὴ ὀμόσητε ὅλως· ἔστω δὲ ὑμῶν τὸ ναί, ναί, καὶ τὸ οὔ, οὔ</w:t>
      </w:r>
      <w:r>
        <w:t xml:space="preserve">, etc. “But do not swear at all; always speak the truth; thus he commanded: </w:t>
      </w:r>
      <w:r>
        <w:rPr>
          <w:i/>
        </w:rPr>
        <w:t>Do not swear at all, but let your yes be yes, and your no no,</w:t>
      </w:r>
      <w:r>
        <w:t>” etc. Justin clearly teaches that there would be no use for swearing if people always told the truth, nor would there be any place for lying. Thus he interprets Christ’s words as if it had been said: Do not swear at all, but always speak the truth. Therefore, he holds that oaths are used because lies are common among men; he opposes the custom of swearing to the custom of always telling the truth in all things; he thinks the former is entirely abolished by Christ, but the latter is sanctioned and prescribed by Christ. Whoever reasons this way does not consider that kind of oath condemned, whose necessity is sometimes imposed by just suspicions arising from frauds and lies disturbing society.</w:t>
      </w:r>
    </w:p>
    <w:p w14:paraId="031F6D25" w14:textId="77777777" w:rsidR="005C2B3E" w:rsidRDefault="00000000">
      <w:pPr>
        <w:ind w:firstLine="360"/>
      </w:pPr>
      <w:r>
        <w:t xml:space="preserve">The author condemns the fragment on the resurrection, which we published in the </w:t>
      </w:r>
      <w:r>
        <w:rPr>
          <w:i/>
        </w:rPr>
        <w:t>Appendix</w:t>
      </w:r>
      <w:r>
        <w:t xml:space="preserve">, “an unjust marriage from desire,” τὸν διʼ ἐπιθυμίας ἄνομον γάμον. How could the same writer seize upon this sentence? For what is more in harmony with this command, that all things be done in love, and whether we eat, or drink, or do anything else, </w:t>
      </w:r>
      <w:r>
        <w:rPr>
          <w:i/>
        </w:rPr>
        <w:t>do all for the glory of God</w:t>
      </w:r>
      <w:r>
        <w:t>?</w:t>
      </w:r>
    </w:p>
    <w:p w14:paraId="67AAC362" w14:textId="77777777" w:rsidR="005C2B3E" w:rsidRDefault="00000000">
      <w:pPr>
        <w:ind w:firstLine="360"/>
      </w:pPr>
      <w:r>
        <w:t>As for the boldness of that young man who asked the prefect of Alexandria by a written request to grant the doctor permission to perform the cutting; Justin</w:t>
      </w:r>
      <w:r>
        <w:fldChar w:fldCharType="begin"/>
      </w:r>
      <w:r>
        <w:instrText xml:space="preserve"> XE "Justin" \f "Persons"</w:instrText>
      </w:r>
      <w:r>
        <w:fldChar w:fldCharType="end"/>
      </w:r>
      <w:r>
        <w:t xml:space="preserve"> uses this fact in </w:t>
      </w:r>
      <w:r>
        <w:rPr>
          <w:i/>
        </w:rPr>
        <w:t>Apology</w:t>
      </w:r>
      <w:r>
        <w:t xml:space="preserve"> 1, number 29, as an argument for the innocence of Christians; he does not say that the matter itself is in agreement with divine law; he praises the young man for having maintained perpetual virginity after this permission was denied, but certainly not that he himself, as many wrong interpretations have persuaded, carried out what the doctor had refused.</w:t>
      </w:r>
    </w:p>
    <w:p w14:paraId="1D16877C" w14:textId="77777777" w:rsidR="005C2B3E" w:rsidRDefault="00000000">
      <w:pPr>
        <w:ind w:firstLine="360"/>
      </w:pPr>
      <w:r>
        <w:t>II. The opinion of St</w:t>
      </w:r>
      <w:r>
        <w:fldChar w:fldCharType="begin"/>
      </w:r>
      <w:r>
        <w:instrText xml:space="preserve"> XE "St" \f "Persons"</w:instrText>
      </w:r>
      <w:r>
        <w:fldChar w:fldCharType="end"/>
      </w:r>
      <w:r>
        <w:t>. Justin</w:t>
      </w:r>
      <w:r>
        <w:fldChar w:fldCharType="begin"/>
      </w:r>
      <w:r>
        <w:instrText xml:space="preserve"> XE "Justin" \f "Persons"</w:instrText>
      </w:r>
      <w:r>
        <w:fldChar w:fldCharType="end"/>
      </w:r>
      <w:r>
        <w:t xml:space="preserve"> about martyrdom deserves somewhat closer consideration, which did not escape the criticism of the same learned man. The holy martyrs were approved (for this is not to be concealed) who, burning with charity and filled with the Holy Spirit, declared themselves Christians to the judges without anyone accusing them. Moved by admiration for their virtue, he admits that he recognized the innocence of the Christians. “For I myself,” he says in </w:t>
      </w:r>
      <w:r>
        <w:rPr>
          <w:i/>
        </w:rPr>
        <w:t>Apology</w:t>
      </w:r>
      <w:r>
        <w:t xml:space="preserve"> 2, number 12, “while I delighted in the teaching of Plato and heard about the crimes alleged against Christians, but saw them fearless before death and all other things that seem to be feared, I could not understand how it was possible that they lived in wickedness and in the love of pleasures. For who, being lustful and intemperate, and counting the </w:t>
      </w:r>
      <w:r>
        <w:lastRenderedPageBreak/>
        <w:t xml:space="preserve">pleasures of the human flesh among goods, could embrace death in order to lose his goods, and not rather try to remain always in this life and hide from the magistrates; much less bring himself to be condemned to death?” It is therefore not at all surprising that the praises of that man in the same </w:t>
      </w:r>
      <w:r>
        <w:rPr>
          <w:i/>
        </w:rPr>
        <w:t>Apology</w:t>
      </w:r>
      <w:r>
        <w:t>, 2, 2, were deserved when Lucius the martyr, seeing St. Ptolemy dragged to execution, rebuked the injustice of the judge and was immediately confessed himself to be a Christian and was taken away at once; then a certain third man arrived and was condemned to the same punishment. How could Justin have blamed such martyrs, who not only voluntarily confessed to being Christians without being summoned to trial, but also did not hesitate to approach the emperors themselves sitting on the tribunal as defenders of Christians?</w:t>
      </w:r>
    </w:p>
    <w:p w14:paraId="0458545A" w14:textId="77777777" w:rsidR="005C2B3E" w:rsidRDefault="00000000">
      <w:pPr>
        <w:ind w:firstLine="360"/>
      </w:pPr>
      <w:r>
        <w:t>Flight in persecutions is praiseworthy and often absolutely necessary; this is so certain and proven by the precepts and examples of Scripture and tradition that no one can deny it, except those who would not be ashamed to be joined either with the Montanists or the persecutors of St. Athanasius. Yet not all are always bound by the command to flee; otherwise neither the great Polycarp would escape blame, nor many others who, although they could have saved themselves by flight, preferred to fall into the hands of the soldiers. Likewise, due respect is owed to so many martyrs who offered themselves; only those whom rash impulse rather than charity drove are allowed to be noted and blamed.</w:t>
      </w:r>
    </w:p>
    <w:p w14:paraId="4BA8ABEE" w14:textId="77777777" w:rsidR="005C2B3E" w:rsidRPr="00AE0150" w:rsidRDefault="00000000">
      <w:pPr>
        <w:ind w:firstLine="360"/>
        <w:rPr>
          <w:lang w:val="el-GR"/>
        </w:rPr>
      </w:pPr>
      <w:r>
        <w:t>There was a certain Quintus</w:t>
      </w:r>
      <w:r>
        <w:fldChar w:fldCharType="begin"/>
      </w:r>
      <w:r>
        <w:instrText xml:space="preserve"> XE "Quintus" \f "Persons"</w:instrText>
      </w:r>
      <w:r>
        <w:fldChar w:fldCharType="end"/>
      </w:r>
      <w:r>
        <w:t xml:space="preserve">, about whom the Church of Smyrna gives its judgment in the letter concerning the martyrdom of St. Polycarp, number 4: Εἷς δὲ ὀνόματι Κοΐντος, Φρὺξ, προσφάτως ἐληλυθὼς ἀπὸ τῆς Φρυγίας, ἰδὼν τὰ θηρία ἐδειλίασεν. </w:t>
      </w:r>
      <w:r w:rsidRPr="00AE0150">
        <w:rPr>
          <w:lang w:val="el-GR"/>
        </w:rPr>
        <w:t>Οὗτος δὲ ἦν ὁ παραβιασάμενος αὑτόν τε καί τινας προσελθεῖν ἑκόντας. Τοῦτον ὁ ἀνθύπατος πολλὰ ἐκλιπαρήσας ἔπεισεν ὀμόσαι καὶ ἐπιθῦσαι. Διὰ τοῦτο οὖν, ἀδελφοὶ, οὐκ ἐπαινοῦμεν τοὺς προσιόντας ἑαυτοῖς, ἐπειδὴ οὐχ οὕτως διδάσκει τὸ Εὐαγγέλιον.</w:t>
      </w:r>
    </w:p>
    <w:p w14:paraId="20D89BE2" w14:textId="77777777" w:rsidR="005C2B3E" w:rsidRDefault="00000000">
      <w:pPr>
        <w:ind w:firstLine="360"/>
      </w:pPr>
      <w:r>
        <w:t>“A certain man named Quintus</w:t>
      </w:r>
      <w:r>
        <w:fldChar w:fldCharType="begin"/>
      </w:r>
      <w:r>
        <w:instrText xml:space="preserve"> XE "Quintus" \f "Persons"</w:instrText>
      </w:r>
      <w:r>
        <w:fldChar w:fldCharType="end"/>
      </w:r>
      <w:r>
        <w:t>, a Phrygian by nation, who had recently come from Phrygia, when he saw the beasts, was struck with fear. This man was the one who, by a rash impulse, urged himself and some others to approach voluntarily. The proconsul, after many entreaties, persuaded him to swear and to sacrifice. Therefore, brothers, we do not praise those who come forward of their own accord, since the Gospel does not teach this.”</w:t>
      </w:r>
    </w:p>
    <w:p w14:paraId="30E0FF73" w14:textId="77777777" w:rsidR="005C2B3E" w:rsidRDefault="00000000">
      <w:pPr>
        <w:ind w:firstLine="360"/>
      </w:pPr>
      <w:r>
        <w:t>Only this Quintus</w:t>
      </w:r>
      <w:r>
        <w:fldChar w:fldCharType="begin"/>
      </w:r>
      <w:r>
        <w:instrText xml:space="preserve"> XE "Quintus" \f "Persons"</w:instrText>
      </w:r>
      <w:r>
        <w:fldChar w:fldCharType="end"/>
      </w:r>
      <w:r>
        <w:t xml:space="preserve"> is blamed, and those who followed his rash impulse, not his fall, do not share the blame. The word παραβιασάμενος shows a rash impulse of his own will; but the authority of Eusebius adds, who, not quoting the words but the sense of this passage in </w:t>
      </w:r>
      <w:r>
        <w:rPr>
          <w:i/>
        </w:rPr>
        <w:t>Hist.</w:t>
      </w:r>
      <w:r>
        <w:t xml:space="preserve">, iv, 15, says this man acted more rashly, but not with reverence: “Driven by a certain rashness and levity, not by a pious and religious motive, he, together with some others, rushed to the tribunal.” Regarding what is read in the letter, </w:t>
      </w:r>
      <w:r>
        <w:lastRenderedPageBreak/>
        <w:t xml:space="preserve">οὐκ ἐπαινοῦμεν τοὺς προσιόντας ἑαυτοῖς, Eusebius notes that “it is not allowed for such men to dare rashly and irreverently to expose themselves to dangers with reckless boldness and without any regard for their own weakness.” Hence Cotelerius remarked: “In explaining these matters, Eusebius was somewhat freer and not sufficiently faithful, fearing, I think, that harm might come to many martyrs who, as is known, offered themselves to the judges, moved by God.” The opinion of St. Clement of Alexandria, unless explained in the same way as Eusebius explained the letter of Smyrna, would seem excessive, blaming not only those who offer themselves but also those who do not flee, </w:t>
      </w:r>
      <w:r>
        <w:rPr>
          <w:i/>
        </w:rPr>
        <w:t>Strom</w:t>
      </w:r>
      <w:r>
        <w:t>, v, p. 508. St. Peter of Alexandria seems to have stated the matter more accurately. In those who went forth of their own accord to confess, he requires prudence consistent with the examples of Christ and the apostles, but nevertheless declares that they are to be joined in communion “if they have done this in the name of Christ,” ἅτε δὴ ἐν ὀνόματι Χριστοῦ παρερχομένοις εἰς τοῦτο, can. 9.</w:t>
      </w:r>
    </w:p>
    <w:p w14:paraId="42B4AA28" w14:textId="77777777" w:rsidR="005C2B3E" w:rsidRDefault="00000000">
      <w:pPr>
        <w:ind w:firstLine="360"/>
      </w:pPr>
      <w:r>
        <w:t xml:space="preserve">Certainly, there were some occasions when offering oneself seemed praiseworthy to all; namely, when those who had sacrificed after being defeated in the first fight, having regained their strength, returned to the battle. St. Cyprian is the authority in letter 14 for those who, having fallen, rightly ask for communion sooner, so that by returning to the fight they may obtain the desired peace. St. Peter of Alexandria, canon 8, grants communion to those who were victorious in the second battle, to which they had gone forth voluntarily, and declares their action to be </w:t>
      </w:r>
      <w:r>
        <w:rPr>
          <w:i/>
        </w:rPr>
        <w:t>a most perfect repentance</w:t>
      </w:r>
      <w:r>
        <w:t>. The very learned man Eusebius Renaudot</w:t>
      </w:r>
      <w:r>
        <w:fldChar w:fldCharType="begin"/>
      </w:r>
      <w:r>
        <w:instrText xml:space="preserve"> XE "Eusebius Renaudot" \f "Persons"</w:instrText>
      </w:r>
      <w:r>
        <w:fldChar w:fldCharType="end"/>
      </w:r>
      <w:r>
        <w:t xml:space="preserve"> testifies in </w:t>
      </w:r>
      <w:r>
        <w:rPr>
          <w:i/>
        </w:rPr>
        <w:t>Perpetual Faith</w:t>
      </w:r>
      <w:r>
        <w:t>, volume 5, book 3, chapter 7, that among the Copts and Jacobites those who had fallen were prescribed to return to the contest. The holy Fathers acted more leniently and did not think that so great a burden should be imposed on those who had shown sorrowful signs of weakness. The reason why those who offered themselves voluntarily were not usually approved was the same consideration of human weakness, which sometimes led to unhappy outcomes even in those who went forth voluntarily to the contest.</w:t>
      </w:r>
    </w:p>
    <w:p w14:paraId="27F09008" w14:textId="77777777" w:rsidR="005C2B3E" w:rsidRDefault="00000000">
      <w:pPr>
        <w:ind w:firstLine="360"/>
      </w:pPr>
      <w:r>
        <w:t>The same writer is especially unfair to Justin</w:t>
      </w:r>
      <w:r>
        <w:fldChar w:fldCharType="begin"/>
      </w:r>
      <w:r>
        <w:instrText xml:space="preserve"> XE "Justin" \f "Persons"</w:instrText>
      </w:r>
      <w:r>
        <w:fldChar w:fldCharType="end"/>
      </w:r>
      <w:r>
        <w:t xml:space="preserve"> when he says in the same </w:t>
      </w:r>
      <w:r>
        <w:rPr>
          <w:i/>
        </w:rPr>
        <w:t>Apology</w:t>
      </w:r>
      <w:r>
        <w:t>, number 4, that Christians, urged by pagans to bring death upon themselves, respond in such a way that he does not blame that action. Anyone who does not mind reading the passage will recognize the contentious spirit of this man. For with carefully chosen words, Justin declares that Christians would go against God's will if they behaved in that way.</w:t>
      </w:r>
    </w:p>
    <w:p w14:paraId="52D25208" w14:textId="77777777" w:rsidR="005C2B3E" w:rsidRDefault="00000000">
      <w:pPr>
        <w:ind w:firstLine="360"/>
      </w:pPr>
      <w:r>
        <w:t>III. But it must be admitted that there are some things which Justin</w:t>
      </w:r>
      <w:r>
        <w:fldChar w:fldCharType="begin"/>
      </w:r>
      <w:r>
        <w:instrText xml:space="preserve"> XE "Justin" \f "Persons"</w:instrText>
      </w:r>
      <w:r>
        <w:fldChar w:fldCharType="end"/>
      </w:r>
      <w:r>
        <w:t xml:space="preserve"> did not see correctly. Besides the kingdom of a thousand years, he thought that the angels had a custom of sexual relations with women, and that the version of the LXX translators was divinely inspired; and these faults were common to him along with many other ancient writers. What does the learned Barbeyrac conclude from this? “If they could </w:t>
      </w:r>
      <w:r>
        <w:lastRenderedPageBreak/>
        <w:t>so carelessly slip, he says, chapter 2, page 14, in such matters; what authority can we give to their consensus, even if mostly unanimous, in other matters, in which they were equally at least subject to the errors of false criticism and worse philosophy? Or this one example of the inspiration of the Septuagint interpreters, which was generally believed before St. Jerome, is so connected and linked with countless errors, which naturally followed from it, that nothing more is needed to completely overthrow the authority of the Fathers and tradition than to compare Scripture with them.”</w:t>
      </w:r>
    </w:p>
    <w:p w14:paraId="69A1CF8D" w14:textId="77777777" w:rsidR="005C2B3E" w:rsidRDefault="00000000">
      <w:pPr>
        <w:ind w:firstLine="360"/>
      </w:pPr>
      <w:r>
        <w:t>Truly remarkable are the reasonings of this learned man! The holy Fathers, lacking the protection of criticism or initiated into the mysteries of bad philosophy, erred in some matters: therefore, their consensus, even if mostly unanimous, carries no weight in other matters. What could be more absurd to imagine? For we cite the holy Fathers as witnesses of doctrines, and these defects of criticism and faulty philosophy could indeed be turned away by them: but certainly not lead to inventing such things. We seek testimonies from the holy Fathers to prove that matter was created from nothing, that God is one in three persons, that all men are condemned by Adam’s sin because all sinned in Adam; that the Son of God was truly born of a Virgin for our salvation, and is truly God and truly man; that no one can be justified except through faith, which works through charity poured into our hearts by the Holy Spirit; that there is absolutely one Church, whose unity can never be broken nor faith corrupted; outside of which the Holy Spirit cannot be. These and other such doctrines could be twisted from their minds, either when heretical books are unknowingly read under the name of some saint, or when philosophers are listened to carelessly. But who will ever say that by reading heretics or listening to philosophers one has come to this doctrine, for which we seek the support of the holy Fathers?</w:t>
      </w:r>
    </w:p>
    <w:p w14:paraId="7FA43B78" w14:textId="77777777" w:rsidR="005C2B3E" w:rsidRDefault="00000000">
      <w:pPr>
        <w:ind w:firstLine="360"/>
      </w:pPr>
      <w:r>
        <w:t>I would also like to know what that infinite multitude of errors was, which was bound to flow from the claimed inspiration of the Septuagint translators. For since all agreed that the very text of Scripture itself was divinely inspired; was it not much more dangerous to believe the interpretation was divinely inspired than to believe it was carefully and diligently worked out? For in both opinions, the meaning that the interpretation represented in a foreign language ought equally to be seen as given by God. Therefore, no greater harm was caused by those who said the Septuagint translators were inspired by the Holy Spirit than by those who praised their diligence in interpreting.</w:t>
      </w:r>
    </w:p>
    <w:p w14:paraId="5A8A7655" w14:textId="77777777" w:rsidR="005C2B3E" w:rsidRDefault="00000000">
      <w:pPr>
        <w:ind w:firstLine="360"/>
      </w:pPr>
      <w:r>
        <w:t xml:space="preserve">IV. The same author also cites in chapter 1 what the writers of </w:t>
      </w:r>
      <w:r>
        <w:rPr>
          <w:i/>
        </w:rPr>
        <w:t>European erudition</w:t>
      </w:r>
      <w:r>
        <w:t xml:space="preserve"> up to the year 1718 say about the kingdom of a thousand years, adopted by many ecclesiastical writers, as follows: “Could it not happen that those who lived with the apostles misunderstood their meaning, and thought they had received from them a doctrine which was nevertheless false? This certainly can happen: for examples of </w:t>
      </w:r>
      <w:r>
        <w:lastRenderedPageBreak/>
        <w:t>similar errors are not lacking. Papias</w:t>
      </w:r>
      <w:r>
        <w:fldChar w:fldCharType="begin"/>
      </w:r>
      <w:r>
        <w:instrText xml:space="preserve"> XE "Papias" \f "Persons"</w:instrText>
      </w:r>
      <w:r>
        <w:fldChar w:fldCharType="end"/>
      </w:r>
      <w:r>
        <w:t xml:space="preserve"> said he received from the apostles (Eusebius</w:t>
      </w:r>
      <w:r>
        <w:fldChar w:fldCharType="begin"/>
      </w:r>
      <w:r>
        <w:instrText xml:space="preserve"> XE "Eusebius" \f "Persons"</w:instrText>
      </w:r>
      <w:r>
        <w:fldChar w:fldCharType="end"/>
      </w:r>
      <w:r>
        <w:t xml:space="preserve">, </w:t>
      </w:r>
      <w:r>
        <w:rPr>
          <w:i/>
        </w:rPr>
        <w:t>Hist.</w:t>
      </w:r>
      <w:r>
        <w:t>, 5, 39) that the saints would sometimes reign on earth with Christ for a thousand years; and this doctrine, although false, was adopted by the most outstanding men of Christianity, Justin</w:t>
      </w:r>
      <w:r>
        <w:fldChar w:fldCharType="begin"/>
      </w:r>
      <w:r>
        <w:instrText xml:space="preserve"> XE "Justin" \f "Persons"</w:instrText>
      </w:r>
      <w:r>
        <w:fldChar w:fldCharType="end"/>
      </w:r>
      <w:r>
        <w:t>, Irenaeus</w:t>
      </w:r>
      <w:r>
        <w:fldChar w:fldCharType="begin"/>
      </w:r>
      <w:r>
        <w:instrText xml:space="preserve"> XE "Irenaeus" \f "Persons"</w:instrText>
      </w:r>
      <w:r>
        <w:fldChar w:fldCharType="end"/>
      </w:r>
      <w:r>
        <w:t>, Nepos</w:t>
      </w:r>
      <w:r>
        <w:fldChar w:fldCharType="begin"/>
      </w:r>
      <w:r>
        <w:instrText xml:space="preserve"> XE "Nepos" \f "Persons"</w:instrText>
      </w:r>
      <w:r>
        <w:fldChar w:fldCharType="end"/>
      </w:r>
      <w:r>
        <w:t>, Victorinus</w:t>
      </w:r>
      <w:r>
        <w:fldChar w:fldCharType="begin"/>
      </w:r>
      <w:r>
        <w:instrText xml:space="preserve"> XE "Victorinus" \f "Persons"</w:instrText>
      </w:r>
      <w:r>
        <w:fldChar w:fldCharType="end"/>
      </w:r>
      <w:r>
        <w:t>, Lactantius</w:t>
      </w:r>
      <w:r>
        <w:fldChar w:fldCharType="begin"/>
      </w:r>
      <w:r>
        <w:instrText xml:space="preserve"> XE "Lactantius" \f "Persons"</w:instrText>
      </w:r>
      <w:r>
        <w:fldChar w:fldCharType="end"/>
      </w:r>
      <w:r>
        <w:t>, Sulpicius</w:t>
      </w:r>
      <w:r>
        <w:fldChar w:fldCharType="begin"/>
      </w:r>
      <w:r>
        <w:instrText xml:space="preserve"> XE "Sulpicius" \f "Persons"</w:instrText>
      </w:r>
      <w:r>
        <w:fldChar w:fldCharType="end"/>
      </w:r>
      <w:r>
        <w:t xml:space="preserve"> Severus, Quintus Julius Hilarion</w:t>
      </w:r>
      <w:r>
        <w:fldChar w:fldCharType="begin"/>
      </w:r>
      <w:r>
        <w:instrText xml:space="preserve"> XE "Quintus Julius Hilarion" \f "Persons"</w:instrText>
      </w:r>
      <w:r>
        <w:fldChar w:fldCharType="end"/>
      </w:r>
      <w:r>
        <w:t>, Commodianus</w:t>
      </w:r>
      <w:r>
        <w:fldChar w:fldCharType="begin"/>
      </w:r>
      <w:r>
        <w:instrText xml:space="preserve"> XE "Commodianus" \f "Persons"</w:instrText>
      </w:r>
      <w:r>
        <w:fldChar w:fldCharType="end"/>
      </w:r>
      <w:r>
        <w:t xml:space="preserve">, who, defending it, seemed to defend apostolic tradition. It would therefore be worthwhile for us to indicate by what signs the Fathers can be known not to err when they teach us what they say they received from the apostles or apostolic men. For here is a false doctrine, founded on the most venerable tradition.” After reporting this, Barbeyrac adds on his own: “The author of the </w:t>
      </w:r>
      <w:r>
        <w:rPr>
          <w:i/>
        </w:rPr>
        <w:t>Diary</w:t>
      </w:r>
      <w:r>
        <w:t xml:space="preserve"> will wait a long time for a solution to his difficulty.”</w:t>
      </w:r>
    </w:p>
    <w:p w14:paraId="0CEA91F2" w14:textId="77777777" w:rsidR="005C2B3E" w:rsidRDefault="00000000">
      <w:pPr>
        <w:ind w:firstLine="360"/>
      </w:pPr>
      <w:r>
        <w:t>If ever there was a sophism, or a syllogism made up of four terms, it certainly exists here and is clearly detected. The opinion is found to be false that a certain writer says he received from apostolic men; therefore, the whole tradition and set of doctrines, which the apostles received from Christ to be preached to the whole Church, not to any private person, and preserved for all ages, must come under suspicion. One of the ecclesiastical writers erred and passed the error to others while saying he received certain things from apostolic men; therefore, the whole Church is suspect when it declares with the highest agreement that it received the doctrine from the apostles. Many ecclesiastical writers reasoned less well when they followed some older leader in obscure and uncertain matters; therefore, no authority should be attributed to them when they fight over clear and certain matters for the faith of the whole Church.</w:t>
      </w:r>
    </w:p>
    <w:p w14:paraId="1DED9615" w14:textId="77777777" w:rsidR="005C2B3E" w:rsidRDefault="00000000">
      <w:pPr>
        <w:ind w:firstLine="360"/>
      </w:pPr>
      <w:r>
        <w:t>The truth would not be found easily, or rather could not be found at all, if the apostles had entrusted it to private individuals who handled it according to their own judgment, as in the sects of philosophers; but they handed down that precious deposit to the Church spread throughout the whole world. That deposit, about which the Church neither allows anything to be taken away nor added, is not always so clear and plain in all its parts that difficult questions do not sometimes arise, and certain doctrines are less carefully handled even by those who are most faithful to the whole tradition. Therefore, only this should be sought: by what signs can the personal opinion of each writer be distinguished from those things that proclaim the tradition entrusted to the Church. But the holy Fathers themselves have lessened this task for us.</w:t>
      </w:r>
    </w:p>
    <w:p w14:paraId="3EA35AB4" w14:textId="77777777" w:rsidR="005C2B3E" w:rsidRDefault="00000000">
      <w:pPr>
        <w:ind w:firstLine="360"/>
      </w:pPr>
      <w:r>
        <w:t xml:space="preserve">1º The holy Fathers carefully distinguish the very summary of the dogma from those things that either explain the more obscure places of Scripture or discuss the tricks and quibbles of heretics. They consider the </w:t>
      </w:r>
      <w:r>
        <w:rPr>
          <w:i/>
        </w:rPr>
        <w:t>firstborn of all creation</w:t>
      </w:r>
      <w:r>
        <w:t xml:space="preserve"> to mean the Son of God, sometimes because of his human nature, sometimes because of his divine nature; the sophisms of the Arians and Eunomians are not always refuted in the same way by all; about the ignorance of the day, they allow this or that to be said; sometimes </w:t>
      </w:r>
      <w:r>
        <w:lastRenderedPageBreak/>
        <w:t>nothing is attributed to Christ that would be unworthy of God. Is it difficult in such matters to distinguish the dogma itself from those things brought forward in its defense? Origen</w:t>
      </w:r>
      <w:r>
        <w:fldChar w:fldCharType="begin"/>
      </w:r>
      <w:r>
        <w:instrText xml:space="preserve"> XE "Origen" \f "Persons"</w:instrText>
      </w:r>
      <w:r>
        <w:fldChar w:fldCharType="end"/>
      </w:r>
      <w:r>
        <w:t xml:space="preserve">, while indulging in conjecture, somehow desires steadfast and firm faith in the Son suffering on the cross from the Virgin Mother of God, who stood so nobly and so firmly, homily 27 </w:t>
      </w:r>
      <w:r>
        <w:rPr>
          <w:i/>
        </w:rPr>
        <w:t>on Luke</w:t>
      </w:r>
      <w:r>
        <w:t>. Basil</w:t>
      </w:r>
      <w:r>
        <w:fldChar w:fldCharType="begin"/>
      </w:r>
      <w:r>
        <w:instrText xml:space="preserve"> XE "Basil" \f "Persons"</w:instrText>
      </w:r>
      <w:r>
        <w:fldChar w:fldCharType="end"/>
      </w:r>
      <w:r>
        <w:t>, imitating Origen, epistle 260, and some others, whom Petavius</w:t>
      </w:r>
      <w:r>
        <w:fldChar w:fldCharType="begin"/>
      </w:r>
      <w:r>
        <w:instrText xml:space="preserve"> XE "Petavius" \f "Persons"</w:instrText>
      </w:r>
      <w:r>
        <w:fldChar w:fldCharType="end"/>
      </w:r>
      <w:r>
        <w:t xml:space="preserve"> lists in book xiv </w:t>
      </w:r>
      <w:r>
        <w:rPr>
          <w:i/>
        </w:rPr>
        <w:t>On the Incarnation</w:t>
      </w:r>
      <w:r>
        <w:t>, chapter 1. Who does not see that such conjecture, as is human nature, escaped the notice of learned writers while they were engaged in other matters? Indeed, even in those things that most agree with tradition and Scripture, if they are not yet known and judged by all, they do not prefer the same confidence as in matters established by the judgment of the Church. Saint Augustine, consulted by Bishop Honoratus about whether it is lawful for a bishop and clergy to flee when danger of siege or destruction is imminent, set rules in epistle 228, in which the sum of his wisdom shines forth; yet he ends thus: “These things I have written to you, most beloved brother, because you consulted me, according to the truth I judged and with certain charity, but I did not prescribe that you follow a better opinion if you find one.”</w:t>
      </w:r>
    </w:p>
    <w:p w14:paraId="1BDB7246" w14:textId="77777777" w:rsidR="005C2B3E" w:rsidRDefault="00000000">
      <w:pPr>
        <w:ind w:firstLine="360"/>
      </w:pPr>
      <w:r>
        <w:t>2º Those who think it so difficult to distinguish true from false traditions show their injustice all the more clearly because the ecclesiastical writers themselves, if they stray from the truth in any matter, defend the invention of their opinion very differently from how they usually defend the catholic tradition. To give a few examples out of countless ones: does Justin</w:t>
      </w:r>
      <w:r>
        <w:fldChar w:fldCharType="begin"/>
      </w:r>
      <w:r>
        <w:instrText xml:space="preserve"> XE "Justin" \f "Persons"</w:instrText>
      </w:r>
      <w:r>
        <w:fldChar w:fldCharType="end"/>
      </w:r>
      <w:r>
        <w:t xml:space="preserve"> preach the inspiration of the Seventy translators in the same way as that of the prophets? He only criticizes the Jews, n. 68, 71, 72, for daring to change and blame the interpretation worked out under Ptolemy; certainly not for disbelieving divine inspiration. He denies that those who do not believe in the resurrection are Christians, </w:t>
      </w:r>
      <w:r>
        <w:rPr>
          <w:i/>
        </w:rPr>
        <w:t>Dial</w:t>
      </w:r>
      <w:r>
        <w:t xml:space="preserve">, n. 80. But there he defends the idea of an earthly kingdom in such a way that he gives testimony of pure and whole faith to his opponents. Indeed, he admits both the resurrection and the kingdom of a thousand years, </w:t>
      </w:r>
      <w:r>
        <w:rPr>
          <w:i/>
        </w:rPr>
        <w:t>and if there are Christians who rightly believe in all things</w:t>
      </w:r>
      <w:r>
        <w:t>, that is, even in those things which are obscure and not at all decided. For elsewhere, namely n. 39, he acknowledges that the catholics are the most faithful keepers of the whole doctrine handed down by Christ. Who does not know that Cyprian</w:t>
      </w:r>
      <w:r>
        <w:fldChar w:fldCharType="begin"/>
      </w:r>
      <w:r>
        <w:instrText xml:space="preserve"> XE "Cyprian" \f "Persons"</w:instrText>
      </w:r>
      <w:r>
        <w:fldChar w:fldCharType="end"/>
      </w:r>
      <w:r>
        <w:t xml:space="preserve"> and Firmilian</w:t>
      </w:r>
      <w:r>
        <w:fldChar w:fldCharType="begin"/>
      </w:r>
      <w:r>
        <w:instrText xml:space="preserve"> XE "Firmilian" \f "Persons"</w:instrText>
      </w:r>
      <w:r>
        <w:fldChar w:fldCharType="end"/>
      </w:r>
      <w:r>
        <w:t>, in the dispute they had with Stephen</w:t>
      </w:r>
      <w:r>
        <w:fldChar w:fldCharType="begin"/>
      </w:r>
      <w:r>
        <w:instrText xml:space="preserve"> XE "Stephen" \f "Persons"</w:instrText>
      </w:r>
      <w:r>
        <w:fldChar w:fldCharType="end"/>
      </w:r>
      <w:r>
        <w:t>, held their own opinion so firmly that they allowed others to think differently, and defended only one thing very strictly, which their opponents did not deny but still thought was harmed and overturned by suspecting heretical baptism, namely that the Holy Spirit cannot be outside the Church?</w:t>
      </w:r>
    </w:p>
    <w:p w14:paraId="4CBBBAD3" w14:textId="77777777" w:rsidR="005C2B3E" w:rsidRDefault="00000000">
      <w:pPr>
        <w:ind w:firstLine="360"/>
      </w:pPr>
      <w:r>
        <w:t>3º Whenever heresies arose, great protection for the truth was always placed in the ancient Fathers; nor did their testimony lose authority if in other matters they had seen less or discussed less accurately. Saint Athanasius did not approve some things in Origen</w:t>
      </w:r>
      <w:r>
        <w:fldChar w:fldCharType="begin"/>
      </w:r>
      <w:r>
        <w:instrText xml:space="preserve"> XE "Origen" \f "Persons"</w:instrText>
      </w:r>
      <w:r>
        <w:fldChar w:fldCharType="end"/>
      </w:r>
      <w:r>
        <w:t xml:space="preserve">; yet his testimony about the Word being consubstantial struck the Arians like </w:t>
      </w:r>
      <w:r>
        <w:lastRenderedPageBreak/>
        <w:t>an irresistible weapon, vol. I, p. 232. Saint Augustine, in obscure and not yet decided matters, does not allow the law to be imposed on him by the testimonies of Origen, Didymus</w:t>
      </w:r>
      <w:r>
        <w:fldChar w:fldCharType="begin"/>
      </w:r>
      <w:r>
        <w:instrText xml:space="preserve"> XE "Didymus" \f "Persons"</w:instrText>
      </w:r>
      <w:r>
        <w:fldChar w:fldCharType="end"/>
      </w:r>
      <w:r>
        <w:t>, Eusebius of Emesa</w:t>
      </w:r>
      <w:r>
        <w:fldChar w:fldCharType="begin"/>
      </w:r>
      <w:r>
        <w:instrText xml:space="preserve"> XE "Eusebius of Emesa" \f "Persons"</w:instrText>
      </w:r>
      <w:r>
        <w:fldChar w:fldCharType="end"/>
      </w:r>
      <w:r>
        <w:t>, Theodore of Heraclea</w:t>
      </w:r>
      <w:r>
        <w:fldChar w:fldCharType="begin"/>
      </w:r>
      <w:r>
        <w:instrText xml:space="preserve"> XE "Theodore of Heraclea" \f "Persons"</w:instrText>
      </w:r>
      <w:r>
        <w:fldChar w:fldCharType="end"/>
      </w:r>
      <w:r>
        <w:t>, and Saint John Chrysostom, nor that the freedom granted in such matters be taken away, ep. 82, n. 3 and 23. But in defending the doctrine of original sin and grace, he oppresses the Pelagians with the testimonies of Cyprian, Hilary, Gregory, and Ambrose</w:t>
      </w:r>
      <w:r>
        <w:fldChar w:fldCharType="begin"/>
      </w:r>
      <w:r>
        <w:instrText xml:space="preserve"> XE "Ambrose" \f "Persons"</w:instrText>
      </w:r>
      <w:r>
        <w:fldChar w:fldCharType="end"/>
      </w:r>
      <w:r>
        <w:t xml:space="preserve">, and addresses them thus: “The ancient catholic faith, which you have just begun to attack, shows you to be new heretics, preached by the most famous teachers who were before us.” </w:t>
      </w:r>
      <w:r>
        <w:rPr>
          <w:i/>
        </w:rPr>
        <w:t>Op. imperf</w:t>
      </w:r>
      <w:r>
        <w:t>. book i, n. 9. Therefore, tradition founded on the testimony of one or another man does not weaken the tradition of the whole Church by consensus, nor should any slight error in obscure matters or less convenient interpretation of difficult Scripture passages detract from the weight of what the ancient writers taught for the defense of catholic doctrine.</w:t>
      </w:r>
    </w:p>
    <w:p w14:paraId="58FB10DC" w14:textId="77777777" w:rsidR="005C2B3E" w:rsidRDefault="00000000">
      <w:pPr>
        <w:ind w:firstLine="360"/>
      </w:pPr>
      <w:r>
        <w:t>4º If the holy Fathers have thought or said anything less fitting, that should neither be handed down to heretics nor rightly seized by heretics. Cyprian had taught that baptism outside the Church is not valid: the Donatists thought the same and wanted the name of Cyprian to be the stronghold of their error. Yet Augustine</w:t>
      </w:r>
      <w:r>
        <w:fldChar w:fldCharType="begin"/>
      </w:r>
      <w:r>
        <w:instrText xml:space="preserve"> XE "Augustine" \f "Persons"</w:instrText>
      </w:r>
      <w:r>
        <w:fldChar w:fldCharType="end"/>
      </w:r>
      <w:r>
        <w:t xml:space="preserve"> does not hesitate to take away the testimony of the holy martyr from the Donatists, and begins his book </w:t>
      </w:r>
      <w:r>
        <w:rPr>
          <w:i/>
        </w:rPr>
        <w:t>On Baptism</w:t>
      </w:r>
      <w:r>
        <w:t xml:space="preserve"> thus: “As far as it concerns us,” he says, “let those do for the catholic peace what is brought forward against us on Donatus’s side as if by the authority of blessed Cyprian, and let me, with the Lord’s help, show how much they are against those from whom these things are brought.” Therefore, if anyone now dares to defend, despising the consensus of the Church, what Justin</w:t>
      </w:r>
      <w:r>
        <w:fldChar w:fldCharType="begin"/>
      </w:r>
      <w:r>
        <w:instrText xml:space="preserve"> XE "Justin" \f "Persons"</w:instrText>
      </w:r>
      <w:r>
        <w:fldChar w:fldCharType="end"/>
      </w:r>
      <w:r>
        <w:t xml:space="preserve"> once thought about the kingdom of a thousand years, Justin himself will oppose this most strongly, for he valued the authority of the Church so highly. For whatever he preaches about the ornaments and gifts of the Christian religion, whatever he says about the distinction between the new and old Testament, whatever he discusses about that new creation which we receive from Christ, as we saw in the second part of this preface, he considered proper to the catholic Church, excluding all sects. He himself testifies to this in the </w:t>
      </w:r>
      <w:r>
        <w:rPr>
          <w:i/>
        </w:rPr>
        <w:t>Dialogue</w:t>
      </w:r>
      <w:r>
        <w:t xml:space="preserve">, n. 116, where he says: “We who, through the name of Jesus, believe in the Creator God of all as if one man, having been stripped of the filthy garments, that is sins, of the firstborn Son, and inflamed by the word of calling, are the true priestly race of God.” By these words, </w:t>
      </w:r>
      <w:r>
        <w:rPr>
          <w:i/>
        </w:rPr>
        <w:t>as if one man</w:t>
      </w:r>
      <w:r>
        <w:t xml:space="preserve">, the unity of the catholic Church is indicated, which is clear in itself and can be confirmed from other places. He says, n. 42, that after the wicked men were made submissive and obedient to Christ, </w:t>
      </w:r>
      <w:r>
        <w:rPr>
          <w:i/>
        </w:rPr>
        <w:t>all were made as if one boy</w:t>
      </w:r>
      <w:r>
        <w:t xml:space="preserve">, and adds: “Just as it is also seen in the body, when many members are counted, all are one and called one body.” For the same reason, n. 63, he notes that the Church is addressed in Psalm 44 thus: </w:t>
      </w:r>
      <w:r>
        <w:rPr>
          <w:i/>
        </w:rPr>
        <w:t>Hear, daughter, and see</w:t>
      </w:r>
      <w:r>
        <w:t xml:space="preserve">. It was so well understood by Justin that neither could the unity of the Church be broken nor the truth handed down to him be overcome by error, that whatever sects arise, these are </w:t>
      </w:r>
      <w:r>
        <w:lastRenderedPageBreak/>
        <w:t xml:space="preserve">not to be feared or clung to by the catholics, but rather they are an occasion to stand firmer and sharper in faith and unity. “Because of the fact,” he says in </w:t>
      </w:r>
      <w:r>
        <w:rPr>
          <w:i/>
        </w:rPr>
        <w:t>Dialogue</w:t>
      </w:r>
      <w:r>
        <w:t xml:space="preserve">, n. 35, “that there are such men who profess themselves Christians and confess Jesus, who was crucified, as Lord and Christ, yet do not hold his teaching but that which is from the spirits of error; we who are disciples of the true and pure teaching of Jesus Christ are firmer in faith and more steadfast in hope announced by him. For what he foretold would happen in his name, we see brought to completion with our eyes and effect. For he said: </w:t>
      </w:r>
      <w:r>
        <w:rPr>
          <w:i/>
        </w:rPr>
        <w:t>Many will come in my name</w:t>
      </w:r>
      <w:r>
        <w:t xml:space="preserve">, etc. And: </w:t>
      </w:r>
      <w:r>
        <w:rPr>
          <w:i/>
        </w:rPr>
        <w:t>There will be schisms and heresies</w:t>
      </w:r>
      <w:r>
        <w:t>.” Therefore, schisms and heresies bring nothing else to the catholics except that they understand Christ’s predictions are being fulfilled and that they become firmer in faith. But if unity or truth could fail in the Church, there would be no error that would not put the Church’s doctrine in danger; no schism from which there would not be a risk of overthrowing unity.</w:t>
      </w:r>
    </w:p>
    <w:p w14:paraId="32C2AA74" w14:textId="77777777" w:rsidR="005C2B3E" w:rsidRDefault="00000000">
      <w:pPr>
        <w:pStyle w:val="Heading2"/>
      </w:pPr>
      <w:r>
        <w:t>PART III OF THE PREFACE</w:t>
      </w:r>
    </w:p>
    <w:p w14:paraId="7111F882" w14:textId="77777777" w:rsidR="005C2B3E" w:rsidRDefault="00000000">
      <w:pPr>
        <w:spacing w:before="180" w:after="0"/>
        <w:ind w:left="720" w:right="320" w:hanging="360"/>
      </w:pPr>
      <w:r>
        <w:t>On the deeds and writings of Justin</w:t>
      </w:r>
      <w:r>
        <w:fldChar w:fldCharType="begin"/>
      </w:r>
      <w:r>
        <w:instrText xml:space="preserve"> XE "Justin" \f "Persons"</w:instrText>
      </w:r>
      <w:r>
        <w:fldChar w:fldCharType="end"/>
      </w:r>
      <w:r>
        <w:t>, Tatian</w:t>
      </w:r>
      <w:r>
        <w:fldChar w:fldCharType="begin"/>
      </w:r>
      <w:r>
        <w:instrText xml:space="preserve"> XE "Tatian" \f "Persons"</w:instrText>
      </w:r>
      <w:r>
        <w:fldChar w:fldCharType="end"/>
      </w:r>
      <w:r>
        <w:t>, Athenagoras</w:t>
      </w:r>
      <w:r>
        <w:fldChar w:fldCharType="begin"/>
      </w:r>
      <w:r>
        <w:instrText xml:space="preserve"> XE "Athenagoras" \f "Persons"</w:instrText>
      </w:r>
      <w:r>
        <w:fldChar w:fldCharType="end"/>
      </w:r>
      <w:r>
        <w:t>, and Theophilus</w:t>
      </w:r>
      <w:r>
        <w:fldChar w:fldCharType="begin"/>
      </w:r>
      <w:r>
        <w:instrText xml:space="preserve"> XE "Theophilus" \f "Persons"</w:instrText>
      </w:r>
      <w:r>
        <w:fldChar w:fldCharType="end"/>
      </w:r>
      <w:r>
        <w:t xml:space="preserve"> of Antioch</w:t>
      </w:r>
    </w:p>
    <w:p w14:paraId="5977814C" w14:textId="77777777" w:rsidR="005C2B3E" w:rsidRDefault="00000000">
      <w:pPr>
        <w:pStyle w:val="Heading3"/>
      </w:pPr>
      <w:r>
        <w:t>CHAPTER 1</w:t>
      </w:r>
    </w:p>
    <w:p w14:paraId="58A81401" w14:textId="77777777" w:rsidR="005C2B3E" w:rsidRDefault="00000000">
      <w:pPr>
        <w:pStyle w:val="Heading4"/>
      </w:pPr>
      <w:r>
        <w:t>ON JUSTIN’S HOMELAND AND BIRTH, CHILDHOOD EDUCATION, AND CONVERSION</w:t>
      </w:r>
    </w:p>
    <w:p w14:paraId="43144A92" w14:textId="77777777" w:rsidR="005C2B3E" w:rsidRDefault="00000000">
      <w:pPr>
        <w:spacing w:before="180" w:after="0"/>
        <w:ind w:left="720" w:right="320" w:hanging="360"/>
      </w:pPr>
      <w:r>
        <w:t>Saint Justin was born a pagan in Palestine. II. We estimate that he was born around the year 114. III. About his studies and teachers. IV. The remarkable manner of his conversion. V. In which city and in what year he was converted.</w:t>
      </w:r>
    </w:p>
    <w:p w14:paraId="7C7DA591" w14:textId="77777777" w:rsidR="005C2B3E" w:rsidRDefault="00000000">
      <w:r>
        <w:t>I. Concerning most of Saint Justin’s deeds and writings, since there are so many and the opinions of scholars are so different, I easily understand that I am dealing with a slippery and difficult matter. Therefore, I will try to manage and handle the whole subject in such a way that I neither firmly assert what is doubtful and uncertain, nor lightly set aside what is most probable. However, if anything certain and verified appears, that will be used as a starting point, both to refute invented opinions and to confirm those things that had been less well questioned.</w:t>
      </w:r>
    </w:p>
    <w:p w14:paraId="7B45A668" w14:textId="77777777" w:rsidR="005C2B3E" w:rsidRDefault="00000000">
      <w:pPr>
        <w:ind w:firstLine="360"/>
      </w:pPr>
      <w:r>
        <w:t xml:space="preserve">The holy martyr at the beginning of the greater </w:t>
      </w:r>
      <w:r>
        <w:rPr>
          <w:i/>
        </w:rPr>
        <w:t>Apology</w:t>
      </w:r>
      <w:r>
        <w:t xml:space="preserve"> calls his homeland Flavian Neapolis of Syria Palestina, and testifies that his father was Priscus</w:t>
      </w:r>
      <w:r>
        <w:fldChar w:fldCharType="begin"/>
      </w:r>
      <w:r>
        <w:instrText xml:space="preserve"> XE "Priscus" \f "Persons"</w:instrText>
      </w:r>
      <w:r>
        <w:fldChar w:fldCharType="end"/>
      </w:r>
      <w:r>
        <w:t xml:space="preserve"> and his grandfather Bacchius: </w:t>
      </w:r>
      <w:r>
        <w:rPr>
          <w:i/>
        </w:rPr>
        <w:t>Justin</w:t>
      </w:r>
      <w:r>
        <w:fldChar w:fldCharType="begin"/>
      </w:r>
      <w:r>
        <w:instrText xml:space="preserve"> XE "Justin" \f "Persons"</w:instrText>
      </w:r>
      <w:r>
        <w:fldChar w:fldCharType="end"/>
      </w:r>
      <w:r>
        <w:rPr>
          <w:i/>
        </w:rPr>
        <w:t>us</w:t>
      </w:r>
      <w:r>
        <w:fldChar w:fldCharType="begin"/>
      </w:r>
      <w:r>
        <w:instrText xml:space="preserve"> XE "Justinus" \f "Persons"</w:instrText>
      </w:r>
      <w:r>
        <w:fldChar w:fldCharType="end"/>
      </w:r>
      <w:r>
        <w:rPr>
          <w:i/>
        </w:rPr>
        <w:t xml:space="preserve">, son of Priscus, grandson of Bacchius, citizen of Flavian Neapolis in </w:t>
      </w:r>
      <w:r>
        <w:rPr>
          <w:i/>
        </w:rPr>
        <w:lastRenderedPageBreak/>
        <w:t>Syria Palestina.</w:t>
      </w:r>
      <w:r>
        <w:t xml:space="preserve"> This city, which was formerly called Sichem and, according to Josephus</w:t>
      </w:r>
      <w:r>
        <w:fldChar w:fldCharType="begin"/>
      </w:r>
      <w:r>
        <w:instrText xml:space="preserve"> XE "Josephus" \f "Persons"</w:instrText>
      </w:r>
      <w:r>
        <w:fldChar w:fldCharType="end"/>
      </w:r>
      <w:r>
        <w:t xml:space="preserve">, had been the capital of Samaria in the time of Alexander the Great, seems to have received the name Flavian Neapolis and the rights of a city from Flavius Vespasian. For the colony was not brought there by his sons, since it was already called Neapolis shortly after the destruction of Jerusalem, as is clear from the books of Josephus on the Jewish war written at that time. One of these colonists was Bacchius, whose grandson was Justin. He calls the Samaritans his people, not because he followed any part of their institution, but because he was born in this city from Greek colonists. For everywhere he counts himself among those converted to Christ from the Gentiles; he declares himself uncircumcised in the </w:t>
      </w:r>
      <w:r>
        <w:rPr>
          <w:i/>
        </w:rPr>
        <w:t>Dialogue with Trypho</w:t>
      </w:r>
      <w:r>
        <w:t xml:space="preserve">. “Do not doubt,” he says, no. 28, “to believe me, a man uncircumcised.” Hence also in </w:t>
      </w:r>
      <w:r>
        <w:rPr>
          <w:i/>
        </w:rPr>
        <w:t>Apology</w:t>
      </w:r>
      <w:r>
        <w:t xml:space="preserve"> 1, no. 53: “We ourselves see that there are more and truer Christians from the Gentiles than from the Jews and Samaritans.” Therefore, Epiphanius</w:t>
      </w:r>
      <w:r>
        <w:fldChar w:fldCharType="begin"/>
      </w:r>
      <w:r>
        <w:instrText xml:space="preserve"> XE "Epiphanius" \f "Persons"</w:instrText>
      </w:r>
      <w:r>
        <w:fldChar w:fldCharType="end"/>
      </w:r>
      <w:r>
        <w:t xml:space="preserve"> would have been seriously mistaken if he had thought that Justin converted from the Samaritan religion to the Christian religion. But Scaliger and Petavius</w:t>
      </w:r>
      <w:r>
        <w:fldChar w:fldCharType="begin"/>
      </w:r>
      <w:r>
        <w:instrText xml:space="preserve"> XE "Petavius" \f "Persons"</w:instrText>
      </w:r>
      <w:r>
        <w:fldChar w:fldCharType="end"/>
      </w:r>
      <w:r>
        <w:t xml:space="preserve"> wrongly added this opinion to him. For they speak thus: </w:t>
      </w:r>
      <w:r>
        <w:rPr>
          <w:i/>
        </w:rPr>
        <w:t>Tatian used the custom of Justin, the most holy and most religious philosopher, who had passed from the Samaritans to the faith of Christ. For Justin was by birth a Samaritan.</w:t>
      </w:r>
      <w:r>
        <w:t xml:space="preserve"> Justin counts himself among the Samaritans, not because he followed their institutions, but because he was born among this people. In this sense, Justin himself calls the Samaritans his race in the </w:t>
      </w:r>
      <w:r>
        <w:rPr>
          <w:i/>
        </w:rPr>
        <w:t>Dialogue</w:t>
      </w:r>
      <w:r>
        <w:t xml:space="preserve">, no. 120, and in </w:t>
      </w:r>
      <w:r>
        <w:rPr>
          <w:i/>
        </w:rPr>
        <w:t>Apology</w:t>
      </w:r>
      <w:r>
        <w:t xml:space="preserve"> 2, no. 15, his people.</w:t>
      </w:r>
    </w:p>
    <w:p w14:paraId="3A0DD200" w14:textId="77777777" w:rsidR="005C2B3E" w:rsidRDefault="00000000">
      <w:pPr>
        <w:ind w:firstLine="360"/>
      </w:pPr>
      <w:r>
        <w:t>II. We can guess, but not assert, the year in which Justin was born. Epiphanius</w:t>
      </w:r>
      <w:r>
        <w:fldChar w:fldCharType="begin"/>
      </w:r>
      <w:r>
        <w:instrText xml:space="preserve"> XE "Epiphanius" \f "Persons"</w:instrText>
      </w:r>
      <w:r>
        <w:fldChar w:fldCharType="end"/>
      </w:r>
      <w:r>
        <w:t xml:space="preserve"> would shed much light if his words were either free from faults or properly corrected. He speaks thus in heresy 46: Οὗτος γὰρ ὁ Ἰουστῖνος Σαμαρείτης ἧν τὸ γένος, εἰς Χριστὸν πεπιστευκὼς, καὶ μεγάλως ἐξασκηθεὶς, ἀρετῆς τε βίον ἐνδειξάμενος, τὸ τέλος ὑπὲρ Χριστοῦ μαρτυρήσας τελείου στεφάνου καταξιοῦται ἐπὶ τῆς Ῥωμαίων, ἐπὶ Ῥουστικοῦ ἡγεμόνος καὶ Ἁδριανοῦ βασιλέως, ἐτῶν τριάκοντα ὑπάρχων ἐν καθεστώσῃ ἡλικίᾳ. “For this Justin was by birth a Samaritan; when he had believed in Christ and had been greatly trained, showing a life of virtue, he finally suffered martyrdom for Christ and deserved a perfect crown at Rome under the prefect Rusticus and Emperor Hadrian, being thirty years old in full maturity.” Two faults appear here: first, that it was under Hadrian; second, that Justin is said to have suffered at the age of thirty. It is unlikely that Epiphanius thought Justin died at the age of thirty, since he was not unaware of the many books written by him, and he clearly indicates that Justin lived a long and well-practiced holy life. It is less surprising that he places his martyrdom under Hadrian; he was not always accurate in chronological matters. Papebrochius tries to remove both faults; he declares that the last words were lost due to the carelessness of copyists and that they should refer to Justin’s conversion, not to his martyrdom. Instead of what Petavius interprets, </w:t>
      </w:r>
      <w:r>
        <w:rPr>
          <w:i/>
        </w:rPr>
        <w:t xml:space="preserve">under the prefect Rusticus, during the </w:t>
      </w:r>
      <w:r>
        <w:rPr>
          <w:i/>
        </w:rPr>
        <w:lastRenderedPageBreak/>
        <w:t>reign of Hadrian</w:t>
      </w:r>
      <w:r>
        <w:t xml:space="preserve">, he renders it thus: </w:t>
      </w:r>
      <w:r>
        <w:rPr>
          <w:i/>
        </w:rPr>
        <w:t>During the consulship of Rusticus and Emperor Hadrian.</w:t>
      </w:r>
      <w:r>
        <w:t xml:space="preserve"> From this arises the combined meaning: </w:t>
      </w:r>
      <w:r>
        <w:rPr>
          <w:i/>
        </w:rPr>
        <w:t>Justin, when he believed in Christ, was thirty years old and in full maturity during the consulship of Rusticus and Hadrian,</w:t>
      </w:r>
      <w:r>
        <w:t xml:space="preserve"> etc. From this way of interpreting and correcting, it follows that Justin reached the age of thirty in the year 119, when Hadrian and Rusticus were consuls, and therefore was born in the year 89.</w:t>
      </w:r>
    </w:p>
    <w:p w14:paraId="3F3E2B55" w14:textId="77777777" w:rsidR="005C2B3E" w:rsidRDefault="00000000">
      <w:pPr>
        <w:ind w:firstLine="360"/>
      </w:pPr>
      <w:r>
        <w:t xml:space="preserve">But I cannot agree with Papebrochius. This interpretation, ἐπὶ Ῥουστικοῦ ἡγεμόνος καὶ Ἀδριανοῦ βασιλέως, </w:t>
      </w:r>
      <w:r>
        <w:rPr>
          <w:i/>
        </w:rPr>
        <w:t>under the consul Rusticus and Emperor Hadrian</w:t>
      </w:r>
      <w:r>
        <w:t>, completely contradicts itself, although it is strongly supported by Grabius and Dodwell. And even if there were an example to support it, none can truly be brought forward, as Tillemont notes, in which a colleague is placed before the emperor. Many other things also weaken Papebrochius’s opinion. It is much more credible that Justin’s martyrdom was recorded by the mention of the prefect than that his conversion was marked by the consuls. We clearly see from the Acts that he suffered under the prefect Rusticus; nowhere do we read that he converted under the consulship of Rusticus and Hadrian. Finally, his conversion should be placed later if we follow Eusebius, with whom we certainly have no safer guide in these matters.</w:t>
      </w:r>
    </w:p>
    <w:p w14:paraId="4F1133D8" w14:textId="77777777" w:rsidR="005C2B3E" w:rsidRDefault="00000000">
      <w:pPr>
        <w:ind w:firstLine="360"/>
      </w:pPr>
      <w:r>
        <w:t>Therefore, it is better to admit that Epiphanius</w:t>
      </w:r>
      <w:r>
        <w:fldChar w:fldCharType="begin"/>
      </w:r>
      <w:r>
        <w:instrText xml:space="preserve"> XE "Epiphanius" \f "Persons"</w:instrText>
      </w:r>
      <w:r>
        <w:fldChar w:fldCharType="end"/>
      </w:r>
      <w:r>
        <w:t xml:space="preserve"> was mistaken in placing Justin’s martyrdom under Hadrian</w:t>
      </w:r>
      <w:r>
        <w:fldChar w:fldCharType="begin"/>
      </w:r>
      <w:r>
        <w:instrText xml:space="preserve"> XE "Hadrian" \f "Persons"</w:instrText>
      </w:r>
      <w:r>
        <w:fldChar w:fldCharType="end"/>
      </w:r>
      <w:r>
        <w:t xml:space="preserve"> than to interpret his words absurdly. The other fault seems more easily corrected; yet it is not necessary to transfer these words, </w:t>
      </w:r>
      <w:r>
        <w:rPr>
          <w:i/>
        </w:rPr>
        <w:t>in full and steady age, at the age of thirty</w:t>
      </w:r>
      <w:r>
        <w:t>, to a later time as if they referred to the conversion and that they were misplaced by copyists. Nothing prevents Justin from being said to have lived a mature life for Christ; nor is there any harm in Epiphanius’s testimony on this point. The only fault in his words is that Justin is said to have died at the age of thirty. But it was easy for copyists to err in numerical notes and to put thirty instead of fifty; especially since the letters Λ and Ν, which are used to designate these numbers, are not very different and could easily escape the notice of careless eyes. If, therefore, Justin died at about the age of 50 or 54 (for Epiphanius did not apply his calculations too strictly), and we easily understand why he is said to have died in full and steady age—that is, not yet old—then also the year of his birth is about 114. For many reasons assign his martyrdom to about the year 168.</w:t>
      </w:r>
    </w:p>
    <w:p w14:paraId="61FEC8BF" w14:textId="77777777" w:rsidR="005C2B3E" w:rsidRDefault="00000000">
      <w:pPr>
        <w:ind w:firstLine="360"/>
      </w:pPr>
      <w:r>
        <w:t>III</w:t>
      </w:r>
      <w:r>
        <w:fldChar w:fldCharType="begin"/>
      </w:r>
      <w:r>
        <w:instrText xml:space="preserve"> XE "III" \f "Persons"</w:instrText>
      </w:r>
      <w:r>
        <w:fldChar w:fldCharType="end"/>
      </w:r>
      <w:r>
        <w:t xml:space="preserve">. Justin spent his youth in the study of letters; and, as was the custom, he devoted himself to poets, orators, and historians, a useful effort that would one day help refute the pagans. You might say he was not very eager for the art of rhetoric if you consider most of his writings, in which he defends the truth not without strength, nor without great power of mind; yet he thought no ornaments of speech should be used in that defense. However, what he could do in this style is shown by the </w:t>
      </w:r>
      <w:r>
        <w:rPr>
          <w:i/>
        </w:rPr>
        <w:t>Exhortation to the Greeks</w:t>
      </w:r>
      <w:r>
        <w:t xml:space="preserve">, which shines in a more elegant style of speaking than his other works. But he </w:t>
      </w:r>
      <w:r>
        <w:lastRenderedPageBreak/>
        <w:t>burned more passionately for no discipline than for the study of philosophy: and when I consider the extraordinary love of truth he showed by challenging the sects of philosophers, I admire divine Providence, which so inclined his mind to love truth that, when he sought it in vain among the philosophers, he eagerly seized and firmly defended it when it shone before his eyes by the free gift of Christ.</w:t>
      </w:r>
    </w:p>
    <w:p w14:paraId="06683B14" w14:textId="77777777" w:rsidR="005C2B3E" w:rsidRDefault="00000000">
      <w:pPr>
        <w:ind w:firstLine="360"/>
      </w:pPr>
      <w:r>
        <w:t>At first, he had a Stoic philosopher as his teacher, and he spent quite a long time with him. But when he noticed that he learned nothing more about God (for the Stoic himself did not know, nor did he consider this knowledge necessary), he left him and went to another, who was called a Peripatetic, a man, as he himself thought, very sharp. But after a few days, he sent him away without pay, not even considering him a philosopher. Yet not discouraged because of his little success with these two teachers, he turned to a very famous Pythagorean, a man who greatly boasted of his wisdom. But this man imposed the condition on Justin that before he could rise to the consideration of what is good and beautiful, he must devote himself to music, astronomy, and geometry. This was very troublesome for Justin, who did not want to waste time on these disciplines, so he went to the Platonists and committed himself to the teaching of a wise man who, he says, had recently come to our city.</w:t>
      </w:r>
    </w:p>
    <w:p w14:paraId="67AF331F" w14:textId="77777777" w:rsidR="005C2B3E" w:rsidRDefault="00000000">
      <w:pPr>
        <w:ind w:firstLine="360"/>
      </w:pPr>
      <w:r>
        <w:t>IV</w:t>
      </w:r>
      <w:r>
        <w:fldChar w:fldCharType="begin"/>
      </w:r>
      <w:r>
        <w:instrText xml:space="preserve"> XE "IV" \f "Persons"</w:instrText>
      </w:r>
      <w:r>
        <w:fldChar w:fldCharType="end"/>
      </w:r>
      <w:r>
        <w:t>. Justin</w:t>
      </w:r>
      <w:r>
        <w:fldChar w:fldCharType="begin"/>
      </w:r>
      <w:r>
        <w:instrText xml:space="preserve"> XE "Justin" \f "Persons"</w:instrText>
      </w:r>
      <w:r>
        <w:fldChar w:fldCharType="end"/>
      </w:r>
      <w:r>
        <w:t xml:space="preserve"> made great progress in this teaching; but his advances in contemplating incorporeal things went so far that he seemed to himself to have become wise, and from foolishness he came at once to the hope of seeing God. Certainly, the Platonic teachings no more than the sects of other philosophers would have helped him to a deeper knowledge of inner corruption and to the correction of faults, if Christ had not called him to a sounder philosophy. How this happened we learn from the beginning of the </w:t>
      </w:r>
      <w:r>
        <w:rPr>
          <w:i/>
        </w:rPr>
        <w:t>Dialogue</w:t>
      </w:r>
      <w:r>
        <w:t>, as well as from what I have just told.</w:t>
      </w:r>
    </w:p>
    <w:p w14:paraId="474929B1" w14:textId="77777777" w:rsidR="005C2B3E" w:rsidRDefault="00000000">
      <w:pPr>
        <w:ind w:firstLine="360"/>
      </w:pPr>
      <w:r>
        <w:t xml:space="preserve">Carried away by the contemplation of ideas, Justin went to a field not far from the sea for the sake of reflection; and as he was fleeing the footsteps of men, he came near a place where he could be alone without interruption. Beyond his expectation, an old man followed him at a short distance, whose face showed a kindly seriousness. Justin turned and stopped, fixing his eyes more sharply on him. Then the old man said, “Do you know me?” Justin denied it. “Then why,” said the old man, “do you look at me so?” Justin answered that he was surprised that he had met someone there, especially where he hoped to be seen by no one. “I am worried,” said the old man, “about some of my people: they have gone abroad; so I have come to see if any of them will show themselves to me. But what are you doing here?” After Justin explained that he was a student of philosophy and had come there for meditation, the old man took the opportunity to discuss the things that Justin later reported hearing at the beginning of the </w:t>
      </w:r>
      <w:r>
        <w:rPr>
          <w:i/>
        </w:rPr>
        <w:t>Dialogue with Trypho</w:t>
      </w:r>
      <w:r>
        <w:t xml:space="preserve">. The conversation is too long to repeat here. It is enough to note the remarkable wisdom of the old man, who, seeing that Justin felt proud about </w:t>
      </w:r>
      <w:r>
        <w:lastRenderedPageBreak/>
        <w:t>philosophers, handled his mind so that he first showed the emptiness of the knowledge he boasted about so much; then he taught from what sources truth must be drawn. For after Justin realized that neither Pythagoras</w:t>
      </w:r>
      <w:r>
        <w:fldChar w:fldCharType="begin"/>
      </w:r>
      <w:r>
        <w:instrText xml:space="preserve"> XE "Pythagoras" \f "Persons"</w:instrText>
      </w:r>
      <w:r>
        <w:fldChar w:fldCharType="end"/>
      </w:r>
      <w:r>
        <w:t xml:space="preserve"> nor Plato had reached the knowledge of truth, he asked the old man which teachers should be used if even they had not seen the truth. Therefore, the old man entered a splendid field of speech, showing that truth must be sought from the prophets, praising and commending them as far superior to philosophers from ancient times, inspired by the Holy Spirit who spoke through them, proven by the fulfillment of their predictions, by the highest freedom and firmness in delivering oracles, by the miracles that confirmed their prophecies, and finally by the very holiness of the oracles, which uniquely celebrate God the Creator of the world and his Christ. At last, as he left, he urged Justin to pursue these things through meditation and to ask God for understanding; for no one can see or understand them except the one to whom God and Christ give the ability to understand.</w:t>
      </w:r>
    </w:p>
    <w:p w14:paraId="5CD147B0" w14:textId="77777777" w:rsidR="005C2B3E" w:rsidRDefault="00000000">
      <w:pPr>
        <w:ind w:firstLine="360"/>
      </w:pPr>
      <w:r>
        <w:t>Justin</w:t>
      </w:r>
      <w:r>
        <w:fldChar w:fldCharType="begin"/>
      </w:r>
      <w:r>
        <w:instrText xml:space="preserve"> XE "Justin" \f "Persons"</w:instrText>
      </w:r>
      <w:r>
        <w:fldChar w:fldCharType="end"/>
      </w:r>
      <w:r>
        <w:t xml:space="preserve"> did not see this old man again, but he admits that their conversation led him to give the name Christian philosophy to his belief. “After he had said these things and many others, which are not the time to report, he left, ordering me to pursue them through meditation; and I never saw him again. But immediately a fire burned in my soul, and the love of the prophets and friends of Christ took hold of me. When I set his words before my mind, I found only this philosophy, which indeed was safe and useful. This is how and why I am a philosopher.” The old man had discussed many other things, which Justin does not think should be reported here; nor, as Tillemont thinks, did he speak vaguely or generally about Christ; rather, he had gone down to a careful explanation of religion, so that Justin does not hesitate to report what he accepted from him, which he shows with careful reasoning in the </w:t>
      </w:r>
      <w:r>
        <w:rPr>
          <w:i/>
        </w:rPr>
        <w:t>Dialogue</w:t>
      </w:r>
      <w:r>
        <w:t xml:space="preserve">: that salvation comes not from the works of the law but from the grace of the incarnate Son of God, </w:t>
      </w:r>
      <w:r>
        <w:rPr>
          <w:i/>
        </w:rPr>
        <w:t>Dialog</w:t>
      </w:r>
      <w:r>
        <w:t>. no. 23.</w:t>
      </w:r>
    </w:p>
    <w:p w14:paraId="63B8035A" w14:textId="77777777" w:rsidR="005C2B3E" w:rsidRDefault="00000000">
      <w:pPr>
        <w:ind w:firstLine="360"/>
      </w:pPr>
      <w:r>
        <w:t>Halloixius</w:t>
      </w:r>
      <w:r>
        <w:fldChar w:fldCharType="begin"/>
      </w:r>
      <w:r>
        <w:instrText xml:space="preserve"> XE "Halloixius" \f "Persons"</w:instrText>
      </w:r>
      <w:r>
        <w:fldChar w:fldCharType="end"/>
      </w:r>
      <w:r>
        <w:t xml:space="preserve"> suspected that someone among the angels appeared to Justin</w:t>
      </w:r>
      <w:r>
        <w:fldChar w:fldCharType="begin"/>
      </w:r>
      <w:r>
        <w:instrText xml:space="preserve"> XE "Justin" \f "Persons"</w:instrText>
      </w:r>
      <w:r>
        <w:fldChar w:fldCharType="end"/>
      </w:r>
      <w:r>
        <w:t xml:space="preserve"> in the form of an old man. Tillemont declares that this seems very likely if one considers the sudden and unexpected meeting with a man in a place not worn by any footsteps, the conversation about very serious matters, which seems not so much offered by chance as taken up and sought by design, and finally the most desirable outcome of the conversation, with Justin led from superstition to true religion, from admiration of philosophy to love of Christ. As for the old man’s claim to be worried about some of his people who had gone abroad, Tillemont thinks this refers to the concern of ministers sent by God to bring men wandering and fleeing from God along various paths back to truth and to their homeland. Certainly, it should not seem incredible that Justin came to knowledge of religion by a kind of miracle, since the same has happened to many others in those times.</w:t>
      </w:r>
    </w:p>
    <w:p w14:paraId="25657A6D" w14:textId="77777777" w:rsidR="005C2B3E" w:rsidRDefault="00000000">
      <w:pPr>
        <w:ind w:firstLine="360"/>
      </w:pPr>
      <w:r>
        <w:lastRenderedPageBreak/>
        <w:t>There is no doubt that Justin</w:t>
      </w:r>
      <w:r>
        <w:fldChar w:fldCharType="begin"/>
      </w:r>
      <w:r>
        <w:instrText xml:space="preserve"> XE "Justin" \f "Persons"</w:instrText>
      </w:r>
      <w:r>
        <w:fldChar w:fldCharType="end"/>
      </w:r>
      <w:r>
        <w:t xml:space="preserve"> took as his first duty what the old man had commanded him: to give himself entirely to prayer and meditation on the Scriptures. His inflamed spirit was confirmed by another thing, the observation of the steadfastness of Christians enduring tortures; whether the old man brought up this argument for the faith among others, or Justin himself saw it with his own eyes after the old man’s departure. “For I myself,” he says in </w:t>
      </w:r>
      <w:r>
        <w:rPr>
          <w:i/>
        </w:rPr>
        <w:t>Apology</w:t>
      </w:r>
      <w:r>
        <w:t xml:space="preserve"> 2, no. 12, “while I was delighted with the teaching of Plato</w:t>
      </w:r>
      <w:r>
        <w:fldChar w:fldCharType="begin"/>
      </w:r>
      <w:r>
        <w:instrText xml:space="preserve"> XE "Plato" \f "Persons"</w:instrText>
      </w:r>
      <w:r>
        <w:fldChar w:fldCharType="end"/>
      </w:r>
      <w:r>
        <w:t xml:space="preserve"> and heard about the crimes charged against Christians, and saw them fearless before death and all those things that are considered terrible, I could not understand how it was possible that they lived in wickedness and love of pleasures. For who, being lustful and intemperate, and counting the pleasures of the human body among goods, could embrace death so as to lose his goods, and not rather always try to live in this life and hide from magistrates, much less bring himself to be condemned by death?”</w:t>
      </w:r>
    </w:p>
    <w:p w14:paraId="41165C33" w14:textId="77777777" w:rsidR="005C2B3E" w:rsidRDefault="00000000">
      <w:pPr>
        <w:ind w:firstLine="360"/>
      </w:pPr>
      <w:r>
        <w:t xml:space="preserve">Chapter 5. It is not easy to determine in which city Justin, while seeking a place near the sea, was converted from philosophy to Christ, or in what year he obtained such great happiness. What he says about his Platonic teacher, “Who had recently come to our city,” convinced all those, as far as I know who have studied his matters, that he studied philosophy and embraced the Christian religion in his homeland, that is, Neapolis in Palestine of Syria. But since his walking in a place near the sea gave occasion for Justin’s conversion, and since Flavia Neapolis, located in the heart of Palestine, as the very learned abbot de Longuerue observes in his manuscript dissertation on the deeds of Justin, lacked such walks, it is far more probable that Justin came to some notable city for the sake of study, and there became a Christian. In the </w:t>
      </w:r>
      <w:r>
        <w:rPr>
          <w:i/>
        </w:rPr>
        <w:t>Exhortation to the Greeks</w:t>
      </w:r>
      <w:r>
        <w:t>, a work he wrote not long after his conversion, he mentions things he had seen in Alexandria, and it is not unlikely that he devoted himself to literary studies in that city.</w:t>
      </w:r>
    </w:p>
    <w:p w14:paraId="11DBD7A3" w14:textId="77777777" w:rsidR="005C2B3E" w:rsidRDefault="00000000">
      <w:pPr>
        <w:ind w:firstLine="360"/>
      </w:pPr>
      <w:r>
        <w:t>Justin</w:t>
      </w:r>
      <w:r>
        <w:fldChar w:fldCharType="begin"/>
      </w:r>
      <w:r>
        <w:instrText xml:space="preserve"> XE "Justin" \f "Persons"</w:instrText>
      </w:r>
      <w:r>
        <w:fldChar w:fldCharType="end"/>
      </w:r>
      <w:r>
        <w:t xml:space="preserve"> seems to have reached manhood or at least come close to it when he came to know Christ. For by then he had made much progress in philosophy, and after sampling several schools of philosophers, he had fixed his studies on the Platonic. Zonaras testifies that he converted under Hadrian</w:t>
      </w:r>
      <w:r>
        <w:fldChar w:fldCharType="begin"/>
      </w:r>
      <w:r>
        <w:instrText xml:space="preserve"> XE "Hadrian" \f "Persons"</w:instrText>
      </w:r>
      <w:r>
        <w:fldChar w:fldCharType="end"/>
      </w:r>
      <w:r>
        <w:t>; Eusebius</w:t>
      </w:r>
      <w:r>
        <w:fldChar w:fldCharType="begin"/>
      </w:r>
      <w:r>
        <w:instrText xml:space="preserve"> XE "Eusebius" \f "Persons"</w:instrText>
      </w:r>
      <w:r>
        <w:fldChar w:fldCharType="end"/>
      </w:r>
      <w:r>
        <w:t xml:space="preserve"> also speaks of this conversion under the same emperor, and scholars generally agree on this point. However, there is no single opinion about the year of Hadrian in which this happened.</w:t>
      </w:r>
    </w:p>
    <w:p w14:paraId="39EC4A27" w14:textId="77777777" w:rsidR="005C2B3E" w:rsidRDefault="00000000">
      <w:pPr>
        <w:ind w:firstLine="360"/>
      </w:pPr>
      <w:r>
        <w:t>Some, in a learned author of a recently praised dissertation, place this event at the persecution of Hadrian</w:t>
      </w:r>
      <w:r>
        <w:fldChar w:fldCharType="begin"/>
      </w:r>
      <w:r>
        <w:instrText xml:space="preserve"> XE "Hadrian" \f "Persons"</w:instrText>
      </w:r>
      <w:r>
        <w:fldChar w:fldCharType="end"/>
      </w:r>
      <w:r>
        <w:t>, that is, in the year 126. But their opinion is completely overturned by Eusebius</w:t>
      </w:r>
      <w:r>
        <w:fldChar w:fldCharType="begin"/>
      </w:r>
      <w:r>
        <w:instrText xml:space="preserve"> XE "Eusebius" \f "Persons"</w:instrText>
      </w:r>
      <w:r>
        <w:fldChar w:fldCharType="end"/>
      </w:r>
      <w:r>
        <w:t>, who, after speaking about the consecration of Antinous, immediately adds about Justin</w:t>
      </w:r>
      <w:r>
        <w:fldChar w:fldCharType="begin"/>
      </w:r>
      <w:r>
        <w:instrText xml:space="preserve"> XE "Justin" \f "Persons"</w:instrText>
      </w:r>
      <w:r>
        <w:fldChar w:fldCharType="end"/>
      </w:r>
      <w:r>
        <w:t xml:space="preserve">: Κατὰ τοῦτον δὲ καὶ Ἰουστῖνος γνήσιος τῆς ἀληθοῦς φιλοσοφίας ἐραστὴς ἔτι τοῖς παρʼ ἕλλησιν ἀσκούμενος ἐνδιέτριβε λόγοις. “At the same time Justin, a most sincere lover of true philosophy, was still engaged in the writings </w:t>
      </w:r>
      <w:r>
        <w:lastRenderedPageBreak/>
        <w:t xml:space="preserve">of the Gentiles.” Therefore, Eusebius clearly states that Justin did not give his name to the Christian religion before Hadrian assigned Antinous to the ranks of the gods. Tillemont proves with many reasons that Antinous was consecrated in the year 132, note 9 in </w:t>
      </w:r>
      <w:r>
        <w:rPr>
          <w:i/>
        </w:rPr>
        <w:t>On Hadrian</w:t>
      </w:r>
      <w:r>
        <w:t>; for this reason, Justin’s conversion, which followed this consecration, is poorly placed before the year 126.</w:t>
      </w:r>
    </w:p>
    <w:p w14:paraId="38E58E03" w14:textId="77777777" w:rsidR="005C2B3E" w:rsidRDefault="00000000">
      <w:pPr>
        <w:ind w:firstLine="360"/>
      </w:pPr>
      <w:r>
        <w:t xml:space="preserve">Tillemont was led by this testimony to delay Justin’s conversion until the year 133. But it seems better to delay it a little longer, namely until about the year 137. For Justin, not yet old, as we said above, suffered for Christ, in whom he had believed at a mature age. Therefore, not so many years seem to be counted between the conversion and the martyrdom as Tillemont counts, who places the conversion in the year 133 and the martyrdom in the year 168. Moreover, no monument of Justin exists that proves he converted so quickly. The </w:t>
      </w:r>
      <w:r>
        <w:rPr>
          <w:i/>
        </w:rPr>
        <w:t>Exhortation to the Greeks</w:t>
      </w:r>
      <w:r>
        <w:t>, which shows the beginnings of the conversion, must be placed after Hadrian</w:t>
      </w:r>
      <w:r>
        <w:fldChar w:fldCharType="begin"/>
      </w:r>
      <w:r>
        <w:instrText xml:space="preserve"> XE "Hadrian" \f "Persons"</w:instrText>
      </w:r>
      <w:r>
        <w:fldChar w:fldCharType="end"/>
      </w:r>
      <w:r>
        <w:t>, as we will now see. Finally, Eusebius</w:t>
      </w:r>
      <w:r>
        <w:fldChar w:fldCharType="begin"/>
      </w:r>
      <w:r>
        <w:instrText xml:space="preserve"> XE "Eusebius" \f "Persons"</w:instrText>
      </w:r>
      <w:r>
        <w:fldChar w:fldCharType="end"/>
      </w:r>
      <w:r>
        <w:t xml:space="preserve"> speaks about the Jewish War, which was finished around the year 136, before he speaks about Justin’s conversion; and after he said that Justin at the same time devoted himself to the teachings of the Gentiles, when Antinous was consecrated, he then mentions the Jewish War, which he says was waged at that time—that is, when Justin was still detained by the teachings of the Gentiles.</w:t>
      </w:r>
    </w:p>
    <w:p w14:paraId="5985ECBE" w14:textId="77777777" w:rsidR="005C2B3E" w:rsidRDefault="00000000">
      <w:pPr>
        <w:ind w:firstLine="360"/>
      </w:pPr>
      <w:r>
        <w:t>Tillemont places Justin’s conversion before the Jewish War because at that time there was leisure for constant writing and some freedom to walk about, which would not have suited the disturbances of war and the turmoil of all things. But even if we leave aside that Justin was absent from Naples when he converted, certainly Tillemont’s reasoning is equally valid to place the conversion after the war.</w:t>
      </w:r>
    </w:p>
    <w:p w14:paraId="01D82532" w14:textId="77777777" w:rsidR="005C2B3E" w:rsidRDefault="00000000">
      <w:pPr>
        <w:ind w:firstLine="360"/>
      </w:pPr>
      <w:r>
        <w:t>Those who want Justin</w:t>
      </w:r>
      <w:r>
        <w:fldChar w:fldCharType="begin"/>
      </w:r>
      <w:r>
        <w:instrText xml:space="preserve"> XE "Justin" \f "Persons"</w:instrText>
      </w:r>
      <w:r>
        <w:fldChar w:fldCharType="end"/>
      </w:r>
      <w:r>
        <w:t xml:space="preserve"> to have converted during the persecution of Hadrian, that is, before the year 126, use this argument: that Justin says he recognized the innocence of the Christians </w:t>
      </w:r>
      <w:r>
        <w:rPr>
          <w:i/>
        </w:rPr>
        <w:t>when he saw them fearless before death and all things considered terrible</w:t>
      </w:r>
      <w:r>
        <w:t>.</w:t>
      </w:r>
    </w:p>
    <w:p w14:paraId="5C179F6B" w14:textId="77777777" w:rsidR="005C2B3E" w:rsidRDefault="00000000">
      <w:pPr>
        <w:ind w:firstLine="360"/>
      </w:pPr>
      <w:r>
        <w:t>But 1° even if the persecution ended in the year 126, it could still have happened, as has often happened otherwise, that governors, either led by the clamor of the people or stirred by hatred of the Christian religion, cruelly treated Christians without the emperor’s order. 2° Even if no martyrdom at all had occurred when Justin</w:t>
      </w:r>
      <w:r>
        <w:fldChar w:fldCharType="begin"/>
      </w:r>
      <w:r>
        <w:instrText xml:space="preserve"> XE "Justin" \f "Persons"</w:instrText>
      </w:r>
      <w:r>
        <w:fldChar w:fldCharType="end"/>
      </w:r>
      <w:r>
        <w:t xml:space="preserve"> converted, he could recognize and praise the Christians’ steadfastness under torture, not only because the recent memory of those who had suffered in the persecution gave them this praise in the judgment of all; but also because even in peace they showed a fearless spirit, professing that religion, which had always been exposed to very serious storms. Hence Justin in the </w:t>
      </w:r>
      <w:r>
        <w:rPr>
          <w:i/>
        </w:rPr>
        <w:t>Dialogue</w:t>
      </w:r>
      <w:r>
        <w:t xml:space="preserve">, which he had with the Jews in a time of peace, always praises the Christians’ steadfastness in enduring death, and does not hope that rulers will ever stop troubling this religion, n. 30. Tryphon himself is forced to admit, n. 15, </w:t>
      </w:r>
      <w:r>
        <w:lastRenderedPageBreak/>
        <w:t>that this steadfastness of the Christians is remarkable; indeed, he mocks them, n. 7, that they suffer miserably for the sake of Christ. Therefore, it should not seem strange if Justin recognized this virtue in Christians during a time of peace.</w:t>
      </w:r>
    </w:p>
    <w:p w14:paraId="114BA4D1" w14:textId="77777777" w:rsidR="005C2B3E" w:rsidRDefault="00000000">
      <w:pPr>
        <w:pStyle w:val="Heading3"/>
      </w:pPr>
      <w:r>
        <w:t>CHAPTER 2</w:t>
      </w:r>
    </w:p>
    <w:p w14:paraId="1DFEA159" w14:textId="77777777" w:rsidR="005C2B3E" w:rsidRDefault="00000000">
      <w:pPr>
        <w:pStyle w:val="Heading4"/>
      </w:pPr>
      <w:r>
        <w:t>ON JUSTIN’S WAY OF LIFE, PRIESTHOOD, AND FIRST WRITINGS AGAINST THE GENTILES</w:t>
      </w:r>
    </w:p>
    <w:p w14:paraId="4C808861" w14:textId="77777777" w:rsidR="005C2B3E" w:rsidRDefault="00000000">
      <w:pPr>
        <w:spacing w:before="180" w:after="0"/>
        <w:ind w:left="720" w:right="320" w:hanging="360"/>
      </w:pPr>
      <w:r>
        <w:t>Justin</w:t>
      </w:r>
      <w:r>
        <w:fldChar w:fldCharType="begin"/>
      </w:r>
      <w:r>
        <w:instrText xml:space="preserve"> XE "Justin" \f "Persons"</w:instrText>
      </w:r>
      <w:r>
        <w:fldChar w:fldCharType="end"/>
      </w:r>
      <w:r>
        <w:t xml:space="preserve"> seems to have been an ascetic and a presbyter. II. Two speeches against the Greeks are attributed to him. III. The time when the </w:t>
      </w:r>
      <w:r>
        <w:rPr>
          <w:i/>
        </w:rPr>
        <w:t>Cohortatio</w:t>
      </w:r>
      <w:r>
        <w:t xml:space="preserve"> was written. IV. Casimir</w:t>
      </w:r>
      <w:r>
        <w:fldChar w:fldCharType="begin"/>
      </w:r>
      <w:r>
        <w:instrText xml:space="preserve"> XE "Casimir" \f "Persons"</w:instrText>
      </w:r>
      <w:r>
        <w:fldChar w:fldCharType="end"/>
      </w:r>
      <w:r>
        <w:t xml:space="preserve"> Oudinus</w:t>
      </w:r>
      <w:r>
        <w:fldChar w:fldCharType="begin"/>
      </w:r>
      <w:r>
        <w:instrText xml:space="preserve"> XE "Oudinus" \f "Persons"</w:instrText>
      </w:r>
      <w:r>
        <w:fldChar w:fldCharType="end"/>
      </w:r>
      <w:r>
        <w:t xml:space="preserve"> is refuted. V. Another speech less fittingly attributed to Justin. VI. The book </w:t>
      </w:r>
      <w:r>
        <w:rPr>
          <w:i/>
        </w:rPr>
        <w:t>De monarchia</w:t>
      </w:r>
      <w:r>
        <w:t xml:space="preserve"> is by no means mutilated. The passage of Eusebius</w:t>
      </w:r>
      <w:r>
        <w:fldChar w:fldCharType="begin"/>
      </w:r>
      <w:r>
        <w:instrText xml:space="preserve"> XE "Eusebius" \f "Persons"</w:instrText>
      </w:r>
      <w:r>
        <w:fldChar w:fldCharType="end"/>
      </w:r>
      <w:r>
        <w:t>, which had persuaded that it was mutilated, is explained by a new interpretation.</w:t>
      </w:r>
    </w:p>
    <w:p w14:paraId="79FCE227" w14:textId="77777777" w:rsidR="005C2B3E" w:rsidRDefault="00000000">
      <w:r>
        <w:t xml:space="preserve">I. After the holy martyr was initiated into the mysteries of the Christians, he did not spare effort in unfolding the sacred Scriptures and in acquiring knowledge of Christian doctrine that would suit not just any common Christian, but a learned man born for the defense of religion. How much use he made of the sacred Scripture is shown by his </w:t>
      </w:r>
      <w:r>
        <w:rPr>
          <w:i/>
        </w:rPr>
        <w:t>Dialogue</w:t>
      </w:r>
      <w:r>
        <w:t xml:space="preserve"> with the Jew Trypho, in which he brings forth an almost immense forest of testimonies, which indeed had to be recited from memory during the very meeting and conversation, and he interprets Scripture in such a way as to break through Jewish stubbornness. Yet there are those who belittle the holy martyr in this regard and find a lack of understanding of Scripture in him, because, as they think, he indulges too much in allegorical interpretations. I do not deny that some things occur in Justin</w:t>
      </w:r>
      <w:r>
        <w:fldChar w:fldCharType="begin"/>
      </w:r>
      <w:r>
        <w:instrText xml:space="preserve"> XE "Justin" \f "Persons"</w:instrText>
      </w:r>
      <w:r>
        <w:fldChar w:fldCharType="end"/>
      </w:r>
      <w:r>
        <w:t xml:space="preserve"> which seem to be carried too far; but among these shadows many others stand out and shine brightly, which wonderfully confirm, according to the judgment of very learned men, what the holy martyr testifies for the sake of gratitude, that </w:t>
      </w:r>
      <w:r>
        <w:rPr>
          <w:i/>
        </w:rPr>
        <w:t>this grace was granted to him by God, to understand those Scriptures</w:t>
      </w:r>
      <w:r>
        <w:t>, Dialogue, no. 58.</w:t>
      </w:r>
    </w:p>
    <w:p w14:paraId="757CE81A" w14:textId="77777777" w:rsidR="005C2B3E" w:rsidRDefault="00000000">
      <w:pPr>
        <w:ind w:firstLine="360"/>
      </w:pPr>
      <w:r>
        <w:t>Justin</w:t>
      </w:r>
      <w:r>
        <w:fldChar w:fldCharType="begin"/>
      </w:r>
      <w:r>
        <w:instrText xml:space="preserve"> XE "Justin" \f "Persons"</w:instrText>
      </w:r>
      <w:r>
        <w:fldChar w:fldCharType="end"/>
      </w:r>
      <w:r>
        <w:t xml:space="preserve"> shone no less in the holiness of his life than in his teaching. The words of Epiphanius</w:t>
      </w:r>
      <w:r>
        <w:fldChar w:fldCharType="begin"/>
      </w:r>
      <w:r>
        <w:instrText xml:space="preserve"> XE "Epiphanius" \f "Persons"</w:instrText>
      </w:r>
      <w:r>
        <w:fldChar w:fldCharType="end"/>
      </w:r>
      <w:r>
        <w:t>, μεγάλως ἐξασκηθεὶς, clearly show that he was among the ascetics, who added certain personal rules of a stricter life to the common precepts of all Christians, as Origen</w:t>
      </w:r>
      <w:r>
        <w:fldChar w:fldCharType="begin"/>
      </w:r>
      <w:r>
        <w:instrText xml:space="preserve"> XE "Origen" \f "Persons"</w:instrText>
      </w:r>
      <w:r>
        <w:fldChar w:fldCharType="end"/>
      </w:r>
      <w:r>
        <w:t xml:space="preserve"> testifies in book 5 </w:t>
      </w:r>
      <w:r>
        <w:rPr>
          <w:i/>
        </w:rPr>
        <w:t>Against Celsus</w:t>
      </w:r>
      <w:r>
        <w:t>. The whole life of Justin agrees well with Epiphanius’s testimony, a life spent in writing, teaching, and increasing the Church’s benefits, which could not be drowned in worldly waves. Perhaps the sign of this stricter life was the cloak that Justin wore. For Trypho and other Jews judged him to be a philosopher from this garment, seeing him walking about twenty years after his conversion in the Xystus of Ephesus. Tillemont notes that it was not unusual for those professing a stricter life to wear a cloak, like Tertullian</w:t>
      </w:r>
      <w:r>
        <w:fldChar w:fldCharType="begin"/>
      </w:r>
      <w:r>
        <w:instrText xml:space="preserve"> XE "Tertullian" \f "Persons"</w:instrText>
      </w:r>
      <w:r>
        <w:fldChar w:fldCharType="end"/>
      </w:r>
      <w:r>
        <w:t xml:space="preserve"> or the martyr Porphyrius, as </w:t>
      </w:r>
      <w:r>
        <w:lastRenderedPageBreak/>
        <w:t>recorded by Eusebius</w:t>
      </w:r>
      <w:r>
        <w:fldChar w:fldCharType="begin"/>
      </w:r>
      <w:r>
        <w:instrText xml:space="preserve"> XE "Eusebius" \f "Persons"</w:instrText>
      </w:r>
      <w:r>
        <w:fldChar w:fldCharType="end"/>
      </w:r>
      <w:r>
        <w:t xml:space="preserve"> in </w:t>
      </w:r>
      <w:r>
        <w:rPr>
          <w:i/>
        </w:rPr>
        <w:t>De martyribus Palaestinae</w:t>
      </w:r>
      <w:r>
        <w:t>, chapter 11. If anyone denies that Justin used this garment as a sign of philosophy, the same writer says this cannot be blamed, and he brings forward Heraclas</w:t>
      </w:r>
      <w:r>
        <w:fldChar w:fldCharType="begin"/>
      </w:r>
      <w:r>
        <w:instrText xml:space="preserve"> XE "Heraclas" \f "Persons"</w:instrText>
      </w:r>
      <w:r>
        <w:fldChar w:fldCharType="end"/>
      </w:r>
      <w:r>
        <w:t>, the Alexandrian patriarch, as a great imitator of Justin in this matter, who combined the philosophical cloak with the priesthood of Christ. Jerome</w:t>
      </w:r>
      <w:r>
        <w:fldChar w:fldCharType="begin"/>
      </w:r>
      <w:r>
        <w:instrText xml:space="preserve"> XE "Jerome" \f "Persons"</w:instrText>
      </w:r>
      <w:r>
        <w:fldChar w:fldCharType="end"/>
      </w:r>
      <w:r>
        <w:t xml:space="preserve"> also testifies in his book </w:t>
      </w:r>
      <w:r>
        <w:rPr>
          <w:i/>
        </w:rPr>
        <w:t>On Ecclesiastical Writers</w:t>
      </w:r>
      <w:r>
        <w:t xml:space="preserve"> that Saint Aristides</w:t>
      </w:r>
      <w:r>
        <w:fldChar w:fldCharType="begin"/>
      </w:r>
      <w:r>
        <w:instrText xml:space="preserve"> XE "Aristides" \f "Persons"</w:instrText>
      </w:r>
      <w:r>
        <w:fldChar w:fldCharType="end"/>
      </w:r>
      <w:r>
        <w:t xml:space="preserve"> did this before Justin.</w:t>
      </w:r>
    </w:p>
    <w:p w14:paraId="53E12A0D" w14:textId="77777777" w:rsidR="005C2B3E" w:rsidRDefault="00000000">
      <w:pPr>
        <w:ind w:firstLine="360"/>
      </w:pPr>
      <w:r>
        <w:t>Tillemont thinks that Justin</w:t>
      </w:r>
      <w:r>
        <w:fldChar w:fldCharType="begin"/>
      </w:r>
      <w:r>
        <w:instrText xml:space="preserve"> XE "Justin" \f "Persons"</w:instrText>
      </w:r>
      <w:r>
        <w:fldChar w:fldCharType="end"/>
      </w:r>
      <w:r>
        <w:t xml:space="preserve"> was a presbyter because he describes the ceremonies of baptism in such a way that he seems to have held the office of administering it. “But we,” he says in </w:t>
      </w:r>
      <w:r>
        <w:rPr>
          <w:i/>
        </w:rPr>
        <w:t>Apology</w:t>
      </w:r>
      <w:r>
        <w:t xml:space="preserve"> 1, no. 65, “after we have washed him who believed and consented, bring him to those who are called brothers, to the place where they are gathered, to offer common prayers with focused mind.” Therefore, Justin was among those who baptized and led the baptized to the place where the brothers were gathered. In another place, he counts himself among the leaders of the Christian people and admits that in this role he differs greatly from the leaders of the Jewish people. “And so, moved by fear,” he says in </w:t>
      </w:r>
      <w:r>
        <w:rPr>
          <w:i/>
        </w:rPr>
        <w:t>Dialogue</w:t>
      </w:r>
      <w:r>
        <w:t xml:space="preserve"> no. 82, “we try to discuss words according to the Scriptures, not at all out of desire for money or glory, or love of pleasure. For none of these vices can anyone accuse us of. Nor do we want to live like the leaders of your people, against whom God charges this disgrace: ‘Your leaders are partners of thieves, loving gifts, chasing after rewards.’” Justin’s priesthood can be confirmed from his Acts, from which at least it is gathered that the church was in the house where he lived, and that while he was in Rome he was not accustomed to attend any other meeting place. For when the prefect asked where the Christians met and where Justin gathered his disciples, Justin answered that he knew no other meeting place except the house where he stayed. It seems the prefect himself recognized the priestly dignity in Justin when he asked his companions, “Did Justin make you Christians?” The grace of priesthood was not lacking in Justin, as his outstanding merits for the Church show, which he defended and adorned not only with living voice and writings full of piety, like many other Fathers, but also, which happened to very few, restored peace and calm to the Church, troubled and devastated in the most difficult time, by appeasing the emperor with a presented apology. But because there are many great questions about most of his works—whether they are genuine products of his, whether they have come to us intact, and when they were published—it is worth spending time explaining and clarifying these matters as best I can.</w:t>
      </w:r>
    </w:p>
    <w:p w14:paraId="00171143" w14:textId="77777777" w:rsidR="005C2B3E" w:rsidRDefault="00000000">
      <w:pPr>
        <w:ind w:firstLine="360"/>
      </w:pPr>
      <w:r>
        <w:t xml:space="preserve">II. Besides the two </w:t>
      </w:r>
      <w:r>
        <w:rPr>
          <w:i/>
        </w:rPr>
        <w:t>Apologies</w:t>
      </w:r>
      <w:r>
        <w:t xml:space="preserve">, which we have just discussed, two other works by the holy martyr against the pagans exist, one of which, the shorter, is titled </w:t>
      </w:r>
      <w:r>
        <w:rPr>
          <w:i/>
        </w:rPr>
        <w:t>Oration against the Greeks</w:t>
      </w:r>
      <w:r>
        <w:t xml:space="preserve">; the other, much longer, </w:t>
      </w:r>
      <w:r>
        <w:rPr>
          <w:i/>
        </w:rPr>
        <w:t>Exhortation to the Greeks</w:t>
      </w:r>
      <w:r>
        <w:t>. Just as many books of Justin</w:t>
      </w:r>
      <w:r>
        <w:fldChar w:fldCharType="begin"/>
      </w:r>
      <w:r>
        <w:instrText xml:space="preserve"> XE "Justin" \f "Persons"</w:instrText>
      </w:r>
      <w:r>
        <w:fldChar w:fldCharType="end"/>
      </w:r>
      <w:r>
        <w:t xml:space="preserve"> against the pagans, besides the two </w:t>
      </w:r>
      <w:r>
        <w:rPr>
          <w:i/>
        </w:rPr>
        <w:t>Apologies</w:t>
      </w:r>
      <w:r>
        <w:t>, are attributed by Eusebius</w:t>
      </w:r>
      <w:r>
        <w:fldChar w:fldCharType="begin"/>
      </w:r>
      <w:r>
        <w:instrText xml:space="preserve"> XE "Eusebius" \f "Persons"</w:instrText>
      </w:r>
      <w:r>
        <w:fldChar w:fldCharType="end"/>
      </w:r>
      <w:r>
        <w:t>, Jerome</w:t>
      </w:r>
      <w:r>
        <w:fldChar w:fldCharType="begin"/>
      </w:r>
      <w:r>
        <w:instrText xml:space="preserve"> XE "Jerome" \f "Persons"</w:instrText>
      </w:r>
      <w:r>
        <w:fldChar w:fldCharType="end"/>
      </w:r>
      <w:r>
        <w:t>, and Photius</w:t>
      </w:r>
      <w:r>
        <w:fldChar w:fldCharType="begin"/>
      </w:r>
      <w:r>
        <w:instrText xml:space="preserve"> XE "Photius" \f "Persons"</w:instrText>
      </w:r>
      <w:r>
        <w:fldChar w:fldCharType="end"/>
      </w:r>
      <w:r>
        <w:t xml:space="preserve">; but it must be examined whether the same survive today as those mentioned by the ancients. Eusebius speaks thus of these two books: </w:t>
      </w:r>
      <w:r>
        <w:lastRenderedPageBreak/>
        <w:t xml:space="preserve">Καὶ ἄλλος ὁ πρὸς Ἕλληνας ἐν ᾧ μακρὸν περὶ πλείστων παρʼ ἡμῖν τε καὶ τοῖς Ἑλλήνων φιλοσόφοις ζητουμένων κατατείνας λόγον, περὶ τῆς τῶν δαιμόνων διαλαμβάνει φύσεως, ἅ οὐδὲν ἂν ἐπείγοι τανῦν παρατίθεσθαι. Καὶ αὗθις ἕτερον πρὸς Ἕλληνας εἰς ἡμᾶς ἐλήλυθεν αὐτοῦ σύγγραμμα, ὃ καὶ ἐπέγραψεν Ἔλεγχον. “There is also another book of his against the gentiles, in which, after he discussed very fully many questions that are usually debated both by our people and by the philosophers of the gentiles, he sets forth his opinion about the nature of demons, which it is not necessary to include here. Furthermore, another book of his against the gentiles has come down to us, which he titled </w:t>
      </w:r>
      <w:r>
        <w:rPr>
          <w:i/>
        </w:rPr>
        <w:t>Confutation</w:t>
      </w:r>
      <w:r>
        <w:t xml:space="preserve">.” Similarly, Jerome in his book </w:t>
      </w:r>
      <w:r>
        <w:rPr>
          <w:i/>
        </w:rPr>
        <w:t>On Ecclesiastical Writers</w:t>
      </w:r>
      <w:r>
        <w:t xml:space="preserve"> says: “There is also another volume of his against the nations, where he discusses the nature of demons; and a fourth against the nations, which he titled </w:t>
      </w:r>
      <w:r>
        <w:rPr>
          <w:b/>
        </w:rPr>
        <w:t>Ἕλεγχος</w:t>
      </w:r>
      <w:r>
        <w:t xml:space="preserve">.” And Photius, codex 125: Τέσσαρας δὲ πραγματείας κατὰ τῶν ἐθνῶν συνέταξε.… ἐν δὲ τῇ τρίτῃ περὶ φύσεως δαιμόνων διείλεκται. Ὁ δὲ τέταρτος αὐτῷ λόγος ὁμοίως κατὰ τῶν ἐθνῶν συγκείμενος, </w:t>
      </w:r>
      <w:r>
        <w:rPr>
          <w:b/>
        </w:rPr>
        <w:t>Ἕλεγχος</w:t>
      </w:r>
      <w:r>
        <w:t xml:space="preserve"> ἐπιγραφὴν ἔχει. “Moreover, he composed four treatises against the gentiles … in the third he debated the nature of demons. The fourth speech against the gentiles, likewise composed by him, bears the title </w:t>
      </w:r>
      <w:r>
        <w:rPr>
          <w:i/>
        </w:rPr>
        <w:t>Confutation</w:t>
      </w:r>
      <w:r>
        <w:t>.”</w:t>
      </w:r>
    </w:p>
    <w:p w14:paraId="0FFDF755" w14:textId="77777777" w:rsidR="005C2B3E" w:rsidRDefault="00000000">
      <w:pPr>
        <w:ind w:firstLine="360"/>
      </w:pPr>
      <w:r>
        <w:t xml:space="preserve">Of the two orations of Justin against the gentiles that have come down to us, neither is titled </w:t>
      </w:r>
      <w:r>
        <w:rPr>
          <w:i/>
        </w:rPr>
        <w:t>Confutation</w:t>
      </w:r>
      <w:r>
        <w:t>, nor does either discuss the nature of demons. The shorter one was not known or at least not mentioned by Eusebius</w:t>
      </w:r>
      <w:r>
        <w:fldChar w:fldCharType="begin"/>
      </w:r>
      <w:r>
        <w:instrText xml:space="preserve"> XE "Eusebius" \f "Persons"</w:instrText>
      </w:r>
      <w:r>
        <w:fldChar w:fldCharType="end"/>
      </w:r>
      <w:r>
        <w:t xml:space="preserve">: for it does not deal with the nature of demons or other questions indicated by Eusebius. It sharply examines the gods of the gentiles, but it does not refute their opinions with thorough effort. Therefore, it is not the </w:t>
      </w:r>
      <w:r>
        <w:rPr>
          <w:b/>
        </w:rPr>
        <w:t>Ἕλεγχος</w:t>
      </w:r>
      <w:r>
        <w:t xml:space="preserve"> praised by Eusebius. It is not surprising that its carefulness escaped him, since it is very brief. No one rejects it as belonging to the holy martyr; nor indeed does it seem to be rejected. It is inferred that it was written not long after Justin’s conversion from its very beginning, which runs as follows: “Do not think, Greeks, that I have abandoned your rites without reason or without judgment.”</w:t>
      </w:r>
    </w:p>
    <w:p w14:paraId="1D063001" w14:textId="77777777" w:rsidR="005C2B3E" w:rsidRDefault="00000000">
      <w:pPr>
        <w:ind w:firstLine="360"/>
      </w:pPr>
      <w:r>
        <w:t xml:space="preserve">As for the longer oration, which is now titled </w:t>
      </w:r>
      <w:r>
        <w:rPr>
          <w:i/>
        </w:rPr>
        <w:t>Exhortation to the Greeks</w:t>
      </w:r>
      <w:r>
        <w:t>, it is shown by many reasons to have been known to the ancients and to be counted among the most genuine writings of Justin</w:t>
      </w:r>
      <w:r>
        <w:fldChar w:fldCharType="begin"/>
      </w:r>
      <w:r>
        <w:instrText xml:space="preserve"> XE "Justin" \f "Persons"</w:instrText>
      </w:r>
      <w:r>
        <w:fldChar w:fldCharType="end"/>
      </w:r>
      <w:r>
        <w:t xml:space="preserve">. Indeed, nothing is read in it about the nature of demons, nor about questions commonly debated among both our people and the pagan philosophers. Therefore, it cannot be the same treatise that discussed the nature of demons. But nothing prevents it from being exactly the same as the one titled </w:t>
      </w:r>
      <w:r>
        <w:rPr>
          <w:i/>
        </w:rPr>
        <w:t>Elenchus</w:t>
      </w:r>
      <w:r>
        <w:t xml:space="preserve"> or </w:t>
      </w:r>
      <w:r>
        <w:rPr>
          <w:i/>
        </w:rPr>
        <w:t>Confutation</w:t>
      </w:r>
      <w:r>
        <w:t xml:space="preserve">. Except that the titles of books have undergone so many changes by the freedom of copyists that nothing can be concluded from the variety of titles; certainly, from the matters treated in this oration, it is clear that it could very well be titled </w:t>
      </w:r>
      <w:r>
        <w:rPr>
          <w:i/>
        </w:rPr>
        <w:t>Elenchus</w:t>
      </w:r>
      <w:r>
        <w:t xml:space="preserve"> or </w:t>
      </w:r>
      <w:r>
        <w:rPr>
          <w:i/>
        </w:rPr>
        <w:t>Confutation</w:t>
      </w:r>
      <w:r>
        <w:t xml:space="preserve">. For it does nothing else but to refute the pagans with arguments drawn from their own sources, and to show from their own writers the emptiness and madness of pagan superstition, and the antiquity of the true </w:t>
      </w:r>
      <w:r>
        <w:lastRenderedPageBreak/>
        <w:t xml:space="preserve">religion. No one fails to see how fittingly the title </w:t>
      </w:r>
      <w:r>
        <w:rPr>
          <w:i/>
        </w:rPr>
        <w:t>Elenchus</w:t>
      </w:r>
      <w:r>
        <w:t xml:space="preserve"> or </w:t>
      </w:r>
      <w:r>
        <w:rPr>
          <w:i/>
        </w:rPr>
        <w:t>Confutation</w:t>
      </w:r>
      <w:r>
        <w:t xml:space="preserve"> agrees with this manner of argument. Hence, when St</w:t>
      </w:r>
      <w:r>
        <w:fldChar w:fldCharType="begin"/>
      </w:r>
      <w:r>
        <w:instrText xml:space="preserve"> XE "St" \f "Persons"</w:instrText>
      </w:r>
      <w:r>
        <w:fldChar w:fldCharType="end"/>
      </w:r>
      <w:r>
        <w:t>ephanus Gobarus Tritheita</w:t>
      </w:r>
      <w:r>
        <w:fldChar w:fldCharType="begin"/>
      </w:r>
      <w:r>
        <w:instrText xml:space="preserve"> XE "Stephanus Gobarus Tritheita" \f "Persons"</w:instrText>
      </w:r>
      <w:r>
        <w:fldChar w:fldCharType="end"/>
      </w:r>
      <w:r>
        <w:t>, who wrote in the sixth century, had cited some opinion of the holy martyr found in this oration and abused it in a remarkable way, Photius</w:t>
      </w:r>
      <w:r>
        <w:fldChar w:fldCharType="begin"/>
      </w:r>
      <w:r>
        <w:instrText xml:space="preserve"> XE "Photius" \f "Persons"</w:instrText>
      </w:r>
      <w:r>
        <w:fldChar w:fldCharType="end"/>
      </w:r>
      <w:r>
        <w:t xml:space="preserve"> refuted him by citing the purpose of St. Justin, who here shows that the </w:t>
      </w:r>
      <w:r>
        <w:rPr>
          <w:i/>
        </w:rPr>
        <w:t>Elenchus</w:t>
      </w:r>
      <w:r>
        <w:t xml:space="preserve"> or </w:t>
      </w:r>
      <w:r>
        <w:rPr>
          <w:i/>
        </w:rPr>
        <w:t>Confutation</w:t>
      </w:r>
      <w:r>
        <w:t xml:space="preserve"> attacks the </w:t>
      </w:r>
      <w:r>
        <w:rPr>
          <w:i/>
        </w:rPr>
        <w:t>Elenchus</w:t>
      </w:r>
      <w:r>
        <w:t xml:space="preserve"> of Plato</w:t>
      </w:r>
      <w:r>
        <w:fldChar w:fldCharType="begin"/>
      </w:r>
      <w:r>
        <w:instrText xml:space="preserve"> XE "Plato" \f "Persons"</w:instrText>
      </w:r>
      <w:r>
        <w:fldChar w:fldCharType="end"/>
      </w:r>
      <w:r>
        <w:t xml:space="preserve"> and the pagans. Therefore, this very oration seems to be the one the ancients call </w:t>
      </w:r>
      <w:r>
        <w:rPr>
          <w:i/>
        </w:rPr>
        <w:t>Elenchus</w:t>
      </w:r>
      <w:r>
        <w:t>, and mention in the fourth place among Justin’s writings against the pagans.</w:t>
      </w:r>
    </w:p>
    <w:p w14:paraId="116C595F" w14:textId="77777777" w:rsidR="005C2B3E" w:rsidRDefault="00000000">
      <w:pPr>
        <w:ind w:firstLine="360"/>
      </w:pPr>
      <w:r>
        <w:t>A witness indeed is that same Stephanus Gobarus</w:t>
      </w:r>
      <w:r>
        <w:fldChar w:fldCharType="begin"/>
      </w:r>
      <w:r>
        <w:instrText xml:space="preserve"> XE "Stephanus Gobarus" \f "Persons"</w:instrText>
      </w:r>
      <w:r>
        <w:fldChar w:fldCharType="end"/>
      </w:r>
      <w:r>
        <w:t>, who in the sixth century counted this oration among the genuine works of the holy martyr. But what it contains most importantly and chiefly, the oration itself supplies not a few things from which you recognize Justin</w:t>
      </w:r>
      <w:r>
        <w:fldChar w:fldCharType="begin"/>
      </w:r>
      <w:r>
        <w:instrText xml:space="preserve"> XE "Justin" \f "Persons"</w:instrText>
      </w:r>
      <w:r>
        <w:fldChar w:fldCharType="end"/>
      </w:r>
      <w:r>
        <w:t xml:space="preserve"> as the author. It was written by a man converted from the superstitions of the pagans to the Christian religion; for he objects to the pagans what he had learned before, when he was among them. “I think it is fitting,” he says in section 11, “to bring forth now against you at this time what I formerly heard among you on these matters.” What is said about Moses and the prophets in the Langius translation, section 1: </w:t>
      </w:r>
      <w:r>
        <w:rPr>
          <w:i/>
        </w:rPr>
        <w:t>Our ancestors were divine men,</w:t>
      </w:r>
      <w:r>
        <w:t xml:space="preserve"> might persuade some that the author of this oration came from the Jews. But the Greek words οἱ ἡμέτεροι κατὰ Θεὸν πρόγονοι must be rendered thus: </w:t>
      </w:r>
      <w:r>
        <w:rPr>
          <w:i/>
        </w:rPr>
        <w:t>Our ancestors in divine matters;</w:t>
      </w:r>
      <w:r>
        <w:t xml:space="preserve"> from which words it is clear that the prophets are not called this by this writer because he was born from their people, but because, as he himself testifies in section 10, they were teachers of our religion.</w:t>
      </w:r>
    </w:p>
    <w:p w14:paraId="04AD4BF6" w14:textId="77777777" w:rsidR="005C2B3E" w:rsidRDefault="00000000">
      <w:pPr>
        <w:ind w:firstLine="360"/>
      </w:pPr>
      <w:r>
        <w:t>It also fits Justin</w:t>
      </w:r>
      <w:r>
        <w:fldChar w:fldCharType="begin"/>
      </w:r>
      <w:r>
        <w:instrText xml:space="preserve"> XE "Justin" \f "Persons"</w:instrText>
      </w:r>
      <w:r>
        <w:fldChar w:fldCharType="end"/>
      </w:r>
      <w:r>
        <w:t xml:space="preserve"> very well that the author of this work says he saw in Alexandria the remains of the cells where the Seventy translators were said to have worked, and the shrine of the Sibyl at Cumae in Campania. Since Justin was born in Palestine and, as we have seen, traveled for the sake of studies, he could very easily have gone to Alexandria, and no less easily visited Cumae, since he was heading to Rome. But what he shows throughout the entire oration—that knowledge of the truth must be sought not from pagan writers but from the prophets—what could be more fitting for Justin, who had converted to the Christian religion, having heard the same from an old man he suddenly met?</w:t>
      </w:r>
    </w:p>
    <w:p w14:paraId="0747C38F" w14:textId="77777777" w:rsidR="005C2B3E" w:rsidRDefault="00000000">
      <w:pPr>
        <w:ind w:firstLine="360"/>
      </w:pPr>
      <w:r>
        <w:t>If anyone considers the style more carefully, he will admit that it agrees entirely with the other works of Justin</w:t>
      </w:r>
      <w:r>
        <w:fldChar w:fldCharType="begin"/>
      </w:r>
      <w:r>
        <w:instrText xml:space="preserve"> XE "Justin" \f "Persons"</w:instrText>
      </w:r>
      <w:r>
        <w:fldChar w:fldCharType="end"/>
      </w:r>
      <w:r>
        <w:t xml:space="preserve">, as Bullus notes with Tillemont’s approval. Yet this oration has a certain force that you would miss in other writings of Justin. But what is surprising if Justin, who wrote this oration not long after his conversion, pursued a more polished manner of speaking in these early stages? Moreover, his purpose in this work was not the same as in the </w:t>
      </w:r>
      <w:r>
        <w:rPr>
          <w:i/>
        </w:rPr>
        <w:t>Apologies</w:t>
      </w:r>
      <w:r>
        <w:t xml:space="preserve"> he offered to the emperors. Here he argues gently with the pagans and treats those matters that allowed room for elegance of speech. The </w:t>
      </w:r>
      <w:r>
        <w:rPr>
          <w:i/>
        </w:rPr>
        <w:t>Apologies</w:t>
      </w:r>
      <w:r>
        <w:t xml:space="preserve">, however, are not contained in mild argument but in very sharp </w:t>
      </w:r>
      <w:r>
        <w:lastRenderedPageBreak/>
        <w:t>complaints; and Justin, in that pain which he felt from the most troublesome time for the Church, did not care much how elegantly and ornately he spoke.</w:t>
      </w:r>
    </w:p>
    <w:p w14:paraId="6725F859" w14:textId="77777777" w:rsidR="005C2B3E" w:rsidRDefault="00000000">
      <w:pPr>
        <w:ind w:firstLine="360"/>
      </w:pPr>
      <w:r>
        <w:t>III. From this manner of argument, it is also possible to judge at what time the oration was written. It seems that no severe persecution was raging then. For if the blood of Christians had been shed daily, there would have been neither leisure nor willingness for the holy martyr to discuss so copiously the disputes of Plato</w:t>
      </w:r>
      <w:r>
        <w:fldChar w:fldCharType="begin"/>
      </w:r>
      <w:r>
        <w:instrText xml:space="preserve"> XE "Plato" \f "Persons"</w:instrText>
      </w:r>
      <w:r>
        <w:fldChar w:fldCharType="end"/>
      </w:r>
      <w:r>
        <w:t xml:space="preserve"> and Aristotle</w:t>
      </w:r>
      <w:r>
        <w:fldChar w:fldCharType="begin"/>
      </w:r>
      <w:r>
        <w:instrText xml:space="preserve"> XE "Aristotle" \f "Persons"</w:instrText>
      </w:r>
      <w:r>
        <w:fldChar w:fldCharType="end"/>
      </w:r>
      <w:r>
        <w:t>, and to deprive pagan writers of their ancient praise, while meanwhile making no mention at all of the sufferings of Christians. It is therefore likely that this oration was written in the early years of Antoninus</w:t>
      </w:r>
      <w:r>
        <w:fldChar w:fldCharType="begin"/>
      </w:r>
      <w:r>
        <w:instrText xml:space="preserve"> XE "Antoninus" \f "Persons"</w:instrText>
      </w:r>
      <w:r>
        <w:fldChar w:fldCharType="end"/>
      </w:r>
      <w:r>
        <w:t>, before the persecution that afflicted the Church under this emperor stirred Justin</w:t>
      </w:r>
      <w:r>
        <w:fldChar w:fldCharType="begin"/>
      </w:r>
      <w:r>
        <w:instrText xml:space="preserve"> XE "Justin" \f "Persons"</w:instrText>
      </w:r>
      <w:r>
        <w:fldChar w:fldCharType="end"/>
      </w:r>
      <w:r>
        <w:t xml:space="preserve">’s efforts more sharply to defend the religion. Certainly, it can hardly be doubted that this work was composed before the </w:t>
      </w:r>
      <w:r>
        <w:rPr>
          <w:i/>
        </w:rPr>
        <w:t>Apologies</w:t>
      </w:r>
      <w:r>
        <w:t>, since it seems rather a skirmish against the pagans than a full defense of the religion, and it skillfully turns secular learning against the pagans, but does not dwell on explaining the principles of the Christian religion. Why, then, do I refer this to the time of Antoninus rather than Hadrian</w:t>
      </w:r>
      <w:r>
        <w:fldChar w:fldCharType="begin"/>
      </w:r>
      <w:r>
        <w:instrText xml:space="preserve"> XE "Hadrian" \f "Persons"</w:instrText>
      </w:r>
      <w:r>
        <w:fldChar w:fldCharType="end"/>
      </w:r>
      <w:r>
        <w:t xml:space="preserve">? I use this argument: Sibylline verses are cited in it. For what is read in number 38, that the books of the Sibyl are kept throughout the whole world, and that she clearly and openly foretells </w:t>
      </w:r>
      <w:r>
        <w:rPr>
          <w:i/>
        </w:rPr>
        <w:t>the coming of the Savior and all the things he was to accomplish</w:t>
      </w:r>
      <w:r>
        <w:t>, these words indicate the Sibylline books as they exist today, in which the prediction of the things to be done by Christ is so clear that hardly anyone today denies that it was made up after the events. But since in many places of the Sibylline verses, especially book 8, Marcus</w:t>
      </w:r>
      <w:r>
        <w:fldChar w:fldCharType="begin"/>
      </w:r>
      <w:r>
        <w:instrText xml:space="preserve"> XE "Marcus" \f "Persons"</w:instrText>
      </w:r>
      <w:r>
        <w:fldChar w:fldCharType="end"/>
      </w:r>
      <w:r>
        <w:t xml:space="preserve"> Antoninus</w:t>
      </w:r>
      <w:r>
        <w:fldChar w:fldCharType="begin"/>
      </w:r>
      <w:r>
        <w:instrText xml:space="preserve"> XE "Marcus Antoninus" \f "Persons"</w:instrText>
      </w:r>
      <w:r>
        <w:fldChar w:fldCharType="end"/>
      </w:r>
      <w:r>
        <w:t>, who was adopted by Hadrian in the year 138, and Marcus Aurelius and Lucius Verus</w:t>
      </w:r>
      <w:r>
        <w:fldChar w:fldCharType="begin"/>
      </w:r>
      <w:r>
        <w:instrText xml:space="preserve"> XE "Lucius Verus" \f "Persons"</w:instrText>
      </w:r>
      <w:r>
        <w:fldChar w:fldCharType="end"/>
      </w:r>
      <w:r>
        <w:t>, who were adopted by Antoninus in the same year to be designated as Hadrian’s successors, are mentioned; it is clear that these books were not made before the year 138, which was the last year of Hadrian. Therefore, the composition of Justin, in which these books are said to be kept throughout the whole world, must be referred to the time of Antoninus rather than to the reign of Hadrian.</w:t>
      </w:r>
    </w:p>
    <w:p w14:paraId="36B55F66" w14:textId="77777777" w:rsidR="005C2B3E" w:rsidRDefault="00000000">
      <w:pPr>
        <w:ind w:firstLine="360"/>
      </w:pPr>
      <w:r>
        <w:t>This work was written in Rome, since Justin</w:t>
      </w:r>
      <w:r>
        <w:fldChar w:fldCharType="begin"/>
      </w:r>
      <w:r>
        <w:instrText xml:space="preserve"> XE "Justin" \f "Persons"</w:instrText>
      </w:r>
      <w:r>
        <w:fldChar w:fldCharType="end"/>
      </w:r>
      <w:r>
        <w:t xml:space="preserve"> had traveled through Italy and therefore had come to Rome. But the holy martyr, after arriving in Rome, left this city only once, as we will now see, and that was after the first </w:t>
      </w:r>
      <w:r>
        <w:rPr>
          <w:i/>
        </w:rPr>
        <w:t>Apology</w:t>
      </w:r>
      <w:r>
        <w:t>, which is later than this work.</w:t>
      </w:r>
    </w:p>
    <w:p w14:paraId="6719A990" w14:textId="77777777" w:rsidR="005C2B3E" w:rsidRDefault="00000000">
      <w:pPr>
        <w:ind w:firstLine="360"/>
      </w:pPr>
      <w:r>
        <w:t>IV. Neither the agreement of all critics nor the many marks by which Justin</w:t>
      </w:r>
      <w:r>
        <w:fldChar w:fldCharType="begin"/>
      </w:r>
      <w:r>
        <w:instrText xml:space="preserve"> XE "Justin" \f "Persons"</w:instrText>
      </w:r>
      <w:r>
        <w:fldChar w:fldCharType="end"/>
      </w:r>
      <w:r>
        <w:t xml:space="preserve"> is recognized as the author of this oration deterred Casimir Oudinus</w:t>
      </w:r>
      <w:r>
        <w:fldChar w:fldCharType="begin"/>
      </w:r>
      <w:r>
        <w:instrText xml:space="preserve"> XE "Oudinus" \f "Persons"</w:instrText>
      </w:r>
      <w:r>
        <w:fldChar w:fldCharType="end"/>
      </w:r>
      <w:r>
        <w:fldChar w:fldCharType="begin"/>
      </w:r>
      <w:r>
        <w:instrText xml:space="preserve"> XE "Casimir Oudinus" \f "Persons"</w:instrText>
      </w:r>
      <w:r>
        <w:fldChar w:fldCharType="end"/>
      </w:r>
      <w:r>
        <w:t xml:space="preserve"> from declaring it spurious to the holy martyr in his commentary </w:t>
      </w:r>
      <w:r>
        <w:rPr>
          <w:i/>
        </w:rPr>
        <w:t>On Ecclesiastical Writers</w:t>
      </w:r>
      <w:r>
        <w:t xml:space="preserve">. He relies on five reasons, on which the judgment will be for the learned reader. First, he denies that it fits with Justin being born of pagan parents, because the author of this oration says he </w:t>
      </w:r>
      <w:r>
        <w:rPr>
          <w:i/>
        </w:rPr>
        <w:t>follows the sacred rites and piety of the divine ancestors</w:t>
      </w:r>
      <w:r>
        <w:t>. But Oudinus was misled by the less accurate interpretation of Langi, as we have already noted.</w:t>
      </w:r>
    </w:p>
    <w:p w14:paraId="5E8AED86" w14:textId="77777777" w:rsidR="005C2B3E" w:rsidRDefault="00000000">
      <w:pPr>
        <w:ind w:firstLine="360"/>
      </w:pPr>
      <w:r>
        <w:lastRenderedPageBreak/>
        <w:t>2° He observes that Justin</w:t>
      </w:r>
      <w:r>
        <w:fldChar w:fldCharType="begin"/>
      </w:r>
      <w:r>
        <w:instrText xml:space="preserve"> XE "Justin" \f "Persons"</w:instrText>
      </w:r>
      <w:r>
        <w:fldChar w:fldCharType="end"/>
      </w:r>
      <w:r>
        <w:t xml:space="preserve"> in the </w:t>
      </w:r>
      <w:r>
        <w:rPr>
          <w:i/>
        </w:rPr>
        <w:t>Dialogue</w:t>
      </w:r>
      <w:r>
        <w:t xml:space="preserve"> objects to the Jews rejecting the Septuagint translation and corrupting it; but the author of the </w:t>
      </w:r>
      <w:r>
        <w:rPr>
          <w:i/>
        </w:rPr>
        <w:t>Parænetic Oration</w:t>
      </w:r>
      <w:r>
        <w:t xml:space="preserve"> claims that </w:t>
      </w:r>
      <w:r>
        <w:rPr>
          <w:i/>
        </w:rPr>
        <w:t>the Septuagint version was preserved uncorrupted in the synagogues of the Jews, recognized by the Jews themselves, and used against any opponents</w:t>
      </w:r>
      <w:r>
        <w:t xml:space="preserve">. But could it be that Justin, when writing this oration, had not yet heard anything about the crime of the Jews? Indeed, it is likely that the Jews had not yet given cause for the accusations that Justin makes against them in the </w:t>
      </w:r>
      <w:r>
        <w:rPr>
          <w:i/>
        </w:rPr>
        <w:t>Dialogue</w:t>
      </w:r>
      <w:r>
        <w:t>: for there, at number 73, he declares their crime to be recent.</w:t>
      </w:r>
    </w:p>
    <w:p w14:paraId="12C72352" w14:textId="77777777" w:rsidR="005C2B3E" w:rsidRDefault="00000000">
      <w:pPr>
        <w:ind w:firstLine="360"/>
      </w:pPr>
      <w:r>
        <w:t>The third and fourth reasons are not of greater weight. He takes as an argument that Justin</w:t>
      </w:r>
      <w:r>
        <w:fldChar w:fldCharType="begin"/>
      </w:r>
      <w:r>
        <w:instrText xml:space="preserve"> XE "Justin" \f "Persons"</w:instrText>
      </w:r>
      <w:r>
        <w:fldChar w:fldCharType="end"/>
      </w:r>
      <w:r>
        <w:t xml:space="preserve"> in the </w:t>
      </w:r>
      <w:r>
        <w:rPr>
          <w:i/>
        </w:rPr>
        <w:t>Apology</w:t>
      </w:r>
      <w:r>
        <w:t xml:space="preserve"> complains that the reading of Hystaspes, the Sibyls, and the prophets is forbidden under the penalty of death, because he praises Plato</w:t>
      </w:r>
      <w:r>
        <w:fldChar w:fldCharType="begin"/>
      </w:r>
      <w:r>
        <w:instrText xml:space="preserve"> XE "Plato" \f "Persons"</w:instrText>
      </w:r>
      <w:r>
        <w:fldChar w:fldCharType="end"/>
      </w:r>
      <w:r>
        <w:t xml:space="preserve"> in all his works with great effort; whereas the author of the </w:t>
      </w:r>
      <w:r>
        <w:rPr>
          <w:i/>
        </w:rPr>
        <w:t>Parænetic Oration</w:t>
      </w:r>
      <w:r>
        <w:t xml:space="preserve"> belittles and attacks Plato, and not only testifies that the Sibylline books are scattered throughout the whole world, but also that those who do not want to read the sacred Scriptures can easily learn the beginnings of our religion from the Sibyl’s poem. Hence, he even encourages everyone there to read those works.</w:t>
      </w:r>
    </w:p>
    <w:p w14:paraId="7CA2BB01" w14:textId="77777777" w:rsidR="005C2B3E" w:rsidRDefault="00000000">
      <w:pPr>
        <w:ind w:firstLine="360"/>
      </w:pPr>
      <w:r>
        <w:t>I fear I may seem to be wasting time while refuting such little arguments. Justin</w:t>
      </w:r>
      <w:r>
        <w:fldChar w:fldCharType="begin"/>
      </w:r>
      <w:r>
        <w:instrText xml:space="preserve"> XE "Justin" \f "Persons"</w:instrText>
      </w:r>
      <w:r>
        <w:fldChar w:fldCharType="end"/>
      </w:r>
      <w:r>
        <w:t>, as in other works, so also in this oration praises in Plato</w:t>
      </w:r>
      <w:r>
        <w:fldChar w:fldCharType="begin"/>
      </w:r>
      <w:r>
        <w:instrText xml:space="preserve"> XE "Plato" \f "Persons"</w:instrText>
      </w:r>
      <w:r>
        <w:fldChar w:fldCharType="end"/>
      </w:r>
      <w:r>
        <w:t xml:space="preserve"> the similarity of some ideas with the teaching of Moses</w:t>
      </w:r>
      <w:r>
        <w:fldChar w:fldCharType="begin"/>
      </w:r>
      <w:r>
        <w:instrText xml:space="preserve"> XE "Moses" \f "Persons"</w:instrText>
      </w:r>
      <w:r>
        <w:fldChar w:fldCharType="end"/>
      </w:r>
      <w:r>
        <w:t xml:space="preserve">. But that he fights against Plato in the </w:t>
      </w:r>
      <w:r>
        <w:rPr>
          <w:i/>
        </w:rPr>
        <w:t>Cohortation</w:t>
      </w:r>
      <w:r>
        <w:t xml:space="preserve">, and does not take well what he had drawn from the sources of Moses, he shows the same in the </w:t>
      </w:r>
      <w:r>
        <w:rPr>
          <w:i/>
        </w:rPr>
        <w:t>Apology</w:t>
      </w:r>
      <w:r>
        <w:t xml:space="preserve">, numbers 8 and 60. Indeed, he admits at the beginning of the </w:t>
      </w:r>
      <w:r>
        <w:rPr>
          <w:i/>
        </w:rPr>
        <w:t>Dialogue</w:t>
      </w:r>
      <w:r>
        <w:t xml:space="preserve"> that he had seen nothing of Plato or Pythagoras</w:t>
      </w:r>
      <w:r>
        <w:fldChar w:fldCharType="begin"/>
      </w:r>
      <w:r>
        <w:instrText xml:space="preserve"> XE "Pythagoras" \f "Persons"</w:instrText>
      </w:r>
      <w:r>
        <w:fldChar w:fldCharType="end"/>
      </w:r>
      <w:r>
        <w:t xml:space="preserve"> in those matters about which he then argued with the old man. Regarding the Sibylline books, the </w:t>
      </w:r>
      <w:r>
        <w:rPr>
          <w:i/>
        </w:rPr>
        <w:t>Cohortation</w:t>
      </w:r>
      <w:r>
        <w:t xml:space="preserve"> wonderfully agrees with the </w:t>
      </w:r>
      <w:r>
        <w:rPr>
          <w:i/>
        </w:rPr>
        <w:t>Apology</w:t>
      </w:r>
      <w:r>
        <w:t xml:space="preserve">. For in the former, Justin says these books are kept throughout the whole world, namely by Christians; in the </w:t>
      </w:r>
      <w:r>
        <w:rPr>
          <w:i/>
        </w:rPr>
        <w:t>Apology</w:t>
      </w:r>
      <w:r>
        <w:t>, he testifies that they are constantly read by Christians.</w:t>
      </w:r>
    </w:p>
    <w:p w14:paraId="09ED1ABD" w14:textId="77777777" w:rsidR="005C2B3E" w:rsidRDefault="00000000">
      <w:pPr>
        <w:ind w:firstLine="360"/>
      </w:pPr>
      <w:r>
        <w:t>Finally, in the fifth place, he reasons as follows: “Tatian</w:t>
      </w:r>
      <w:r>
        <w:fldChar w:fldCharType="begin"/>
      </w:r>
      <w:r>
        <w:instrText xml:space="preserve"> XE "Tatian" \f "Persons"</w:instrText>
      </w:r>
      <w:r>
        <w:fldChar w:fldCharType="end"/>
      </w:r>
      <w:r>
        <w:t>, Eusebius</w:t>
      </w:r>
      <w:r>
        <w:fldChar w:fldCharType="begin"/>
      </w:r>
      <w:r>
        <w:instrText xml:space="preserve"> XE "Eusebius" \f "Persons"</w:instrText>
      </w:r>
      <w:r>
        <w:fldChar w:fldCharType="end"/>
      </w:r>
      <w:r>
        <w:t>, Jerome</w:t>
      </w:r>
      <w:r>
        <w:fldChar w:fldCharType="begin"/>
      </w:r>
      <w:r>
        <w:instrText xml:space="preserve"> XE "Jerome" \f "Persons"</w:instrText>
      </w:r>
      <w:r>
        <w:fldChar w:fldCharType="end"/>
      </w:r>
      <w:r>
        <w:t>, and Photius</w:t>
      </w:r>
      <w:r>
        <w:fldChar w:fldCharType="begin"/>
      </w:r>
      <w:r>
        <w:instrText xml:space="preserve"> XE "Photius" \f "Persons"</w:instrText>
      </w:r>
      <w:r>
        <w:fldChar w:fldCharType="end"/>
      </w:r>
      <w:r>
        <w:t xml:space="preserve"> note that Justin</w:t>
      </w:r>
      <w:r>
        <w:fldChar w:fldCharType="begin"/>
      </w:r>
      <w:r>
        <w:instrText xml:space="preserve"> XE "Justin" \f "Persons"</w:instrText>
      </w:r>
      <w:r>
        <w:fldChar w:fldCharType="end"/>
      </w:r>
      <w:r>
        <w:t xml:space="preserve"> in the </w:t>
      </w:r>
      <w:r>
        <w:rPr>
          <w:i/>
        </w:rPr>
        <w:t>Parænetic Oration</w:t>
      </w:r>
      <w:r>
        <w:t xml:space="preserve"> spoke to the Gentiles about the nature of demons; yet no traces of this argument exist in this speech.”</w:t>
      </w:r>
    </w:p>
    <w:p w14:paraId="6827846C" w14:textId="77777777" w:rsidR="005C2B3E" w:rsidRDefault="00000000">
      <w:pPr>
        <w:ind w:firstLine="360"/>
      </w:pPr>
      <w:r>
        <w:t>Tatian</w:t>
      </w:r>
      <w:r>
        <w:fldChar w:fldCharType="begin"/>
      </w:r>
      <w:r>
        <w:instrText xml:space="preserve"> XE "Tatian" \f "Persons"</w:instrText>
      </w:r>
      <w:r>
        <w:fldChar w:fldCharType="end"/>
      </w:r>
      <w:r>
        <w:t xml:space="preserve"> quotes some saying of Justin</w:t>
      </w:r>
      <w:r>
        <w:fldChar w:fldCharType="begin"/>
      </w:r>
      <w:r>
        <w:instrText xml:space="preserve"> XE "Justin" \f "Persons"</w:instrText>
      </w:r>
      <w:r>
        <w:fldChar w:fldCharType="end"/>
      </w:r>
      <w:r>
        <w:t xml:space="preserve"> about demons; but he does not say it was taken from the </w:t>
      </w:r>
      <w:r>
        <w:rPr>
          <w:i/>
        </w:rPr>
        <w:t>Parænetic Oration</w:t>
      </w:r>
      <w:r>
        <w:t>. Nor do Eusebius</w:t>
      </w:r>
      <w:r>
        <w:fldChar w:fldCharType="begin"/>
      </w:r>
      <w:r>
        <w:instrText xml:space="preserve"> XE "Eusebius" \f "Persons"</w:instrText>
      </w:r>
      <w:r>
        <w:fldChar w:fldCharType="end"/>
      </w:r>
      <w:r>
        <w:t>, Jerome</w:t>
      </w:r>
      <w:r>
        <w:fldChar w:fldCharType="begin"/>
      </w:r>
      <w:r>
        <w:instrText xml:space="preserve"> XE "Jerome" \f "Persons"</w:instrText>
      </w:r>
      <w:r>
        <w:fldChar w:fldCharType="end"/>
      </w:r>
      <w:r>
        <w:t>, and Photius</w:t>
      </w:r>
      <w:r>
        <w:fldChar w:fldCharType="begin"/>
      </w:r>
      <w:r>
        <w:instrText xml:space="preserve"> XE "Photius" \f "Persons"</w:instrText>
      </w:r>
      <w:r>
        <w:fldChar w:fldCharType="end"/>
      </w:r>
      <w:r>
        <w:t>, when they say that Justin spoke about the nature of demons, refer to the speech now in our hands, but to another one, about which we must speak briefly now.</w:t>
      </w:r>
    </w:p>
    <w:p w14:paraId="4F10132D" w14:textId="77777777" w:rsidR="005C2B3E" w:rsidRDefault="00000000">
      <w:pPr>
        <w:ind w:firstLine="360"/>
      </w:pPr>
      <w:r>
        <w:t>V. That speech, in which Eusebius</w:t>
      </w:r>
      <w:r>
        <w:fldChar w:fldCharType="begin"/>
      </w:r>
      <w:r>
        <w:instrText xml:space="preserve"> XE "Eusebius" \f "Persons"</w:instrText>
      </w:r>
      <w:r>
        <w:fldChar w:fldCharType="end"/>
      </w:r>
      <w:r>
        <w:t xml:space="preserve"> testifies that Justin</w:t>
      </w:r>
      <w:r>
        <w:fldChar w:fldCharType="begin"/>
      </w:r>
      <w:r>
        <w:instrText xml:space="preserve"> XE "Justin" \f "Persons"</w:instrText>
      </w:r>
      <w:r>
        <w:fldChar w:fldCharType="end"/>
      </w:r>
      <w:r>
        <w:t xml:space="preserve"> discussed the nature of demons and many other matters usually debated both among us and among the Gentile philosophers, seems to be nothing other than the book </w:t>
      </w:r>
      <w:r>
        <w:rPr>
          <w:i/>
        </w:rPr>
        <w:t>On the Universe</w:t>
      </w:r>
      <w:r>
        <w:t xml:space="preserve">, which </w:t>
      </w:r>
      <w:r>
        <w:lastRenderedPageBreak/>
        <w:t>Photius</w:t>
      </w:r>
      <w:r>
        <w:fldChar w:fldCharType="begin"/>
      </w:r>
      <w:r>
        <w:instrText xml:space="preserve"> XE "Photius" \f "Persons"</w:instrText>
      </w:r>
      <w:r>
        <w:fldChar w:fldCharType="end"/>
      </w:r>
      <w:r>
        <w:t xml:space="preserve"> indeed attributes to Caianus</w:t>
      </w:r>
      <w:r>
        <w:fldChar w:fldCharType="begin"/>
      </w:r>
      <w:r>
        <w:instrText xml:space="preserve"> XE "Caianus" \f "Persons"</w:instrText>
      </w:r>
      <w:r>
        <w:fldChar w:fldCharType="end"/>
      </w:r>
      <w:r>
        <w:t xml:space="preserve"> the presbyter, but which others admit is attributed to Justin by Irenaeus</w:t>
      </w:r>
      <w:r>
        <w:fldChar w:fldCharType="begin"/>
      </w:r>
      <w:r>
        <w:instrText xml:space="preserve"> XE "Irenaeus" \f "Persons"</w:instrText>
      </w:r>
      <w:r>
        <w:fldChar w:fldCharType="end"/>
      </w:r>
      <w:r>
        <w:t xml:space="preserve"> and Josephus</w:t>
      </w:r>
      <w:r>
        <w:fldChar w:fldCharType="begin"/>
      </w:r>
      <w:r>
        <w:instrText xml:space="preserve"> XE "Josephus" \f "Persons"</w:instrText>
      </w:r>
      <w:r>
        <w:fldChar w:fldCharType="end"/>
      </w:r>
      <w:r>
        <w:t>.</w:t>
      </w:r>
    </w:p>
    <w:p w14:paraId="36BC8D6D" w14:textId="77777777" w:rsidR="005C2B3E" w:rsidRDefault="00000000">
      <w:pPr>
        <w:ind w:firstLine="360"/>
      </w:pPr>
      <w:r>
        <w:t xml:space="preserve">1° That book </w:t>
      </w:r>
      <w:r>
        <w:rPr>
          <w:i/>
        </w:rPr>
        <w:t>On the Universe</w:t>
      </w:r>
      <w:r>
        <w:t xml:space="preserve">, just like the </w:t>
      </w:r>
      <w:r>
        <w:rPr>
          <w:i/>
        </w:rPr>
        <w:t>Oration</w:t>
      </w:r>
      <w:r>
        <w:t xml:space="preserve"> that Eusebius</w:t>
      </w:r>
      <w:r>
        <w:fldChar w:fldCharType="begin"/>
      </w:r>
      <w:r>
        <w:instrText xml:space="preserve"> XE "Eusebius" \f "Persons"</w:instrText>
      </w:r>
      <w:r>
        <w:fldChar w:fldCharType="end"/>
      </w:r>
      <w:r>
        <w:t xml:space="preserve"> assigns to Justin</w:t>
      </w:r>
      <w:r>
        <w:fldChar w:fldCharType="begin"/>
      </w:r>
      <w:r>
        <w:instrText xml:space="preserve"> XE "Justin" \f "Persons"</w:instrText>
      </w:r>
      <w:r>
        <w:fldChar w:fldCharType="end"/>
      </w:r>
      <w:r>
        <w:t>, was written against the Greeks, as is clear from the fragment found in Hœschelius’ notes, which begins thus: Ἰωσήπου ἐκ τοῦ πρὸς Ἕλληνας λόγου τοῦ ἐπιγεγραμμένου κατὰ Πλάτωνα περὶ τῆς τοῦ παντὸς αἰτίας. “From Josephus</w:t>
      </w:r>
      <w:r>
        <w:fldChar w:fldCharType="begin"/>
      </w:r>
      <w:r>
        <w:instrText xml:space="preserve"> XE "Josephus" \f "Persons"</w:instrText>
      </w:r>
      <w:r>
        <w:fldChar w:fldCharType="end"/>
      </w:r>
      <w:r>
        <w:t>’ speech against the Greeks, entitled ‘Against Plato concerning the cause of the universe.’”</w:t>
      </w:r>
    </w:p>
    <w:p w14:paraId="7A8A4D89" w14:textId="77777777" w:rsidR="005C2B3E" w:rsidRDefault="00000000">
      <w:pPr>
        <w:ind w:firstLine="360"/>
      </w:pPr>
      <w:r>
        <w:t xml:space="preserve">2° The author of the book </w:t>
      </w:r>
      <w:r>
        <w:rPr>
          <w:i/>
        </w:rPr>
        <w:t>On the Universe</w:t>
      </w:r>
      <w:r>
        <w:t xml:space="preserve"> discussed the nature of demons, as is clear from the beginning of the Hœschelian fragment: Καὶ οὕτως μὲν ὁ περὶ δαιμόνων τόπος, “And here indeed is the passage about demons,” that is, so far the subject of demons has been treated.</w:t>
      </w:r>
    </w:p>
    <w:p w14:paraId="26CD70CA" w14:textId="77777777" w:rsidR="005C2B3E" w:rsidRDefault="00000000">
      <w:pPr>
        <w:ind w:firstLine="360"/>
      </w:pPr>
      <w:r>
        <w:t>3° He also debated various questions usually posed both among us and among the philosophers, such as the nature of the soul, the seat and state of souls after death, as is evident both from what Photius</w:t>
      </w:r>
      <w:r>
        <w:fldChar w:fldCharType="begin"/>
      </w:r>
      <w:r>
        <w:instrText xml:space="preserve"> XE "Photius" \f "Persons"</w:instrText>
      </w:r>
      <w:r>
        <w:fldChar w:fldCharType="end"/>
      </w:r>
      <w:r>
        <w:t xml:space="preserve"> reports in codex 48 and from the Hœschelian fragment.</w:t>
      </w:r>
    </w:p>
    <w:p w14:paraId="326CBE24" w14:textId="77777777" w:rsidR="005C2B3E" w:rsidRDefault="00000000">
      <w:pPr>
        <w:ind w:firstLine="360"/>
      </w:pPr>
      <w:r>
        <w:t xml:space="preserve">Therefore, that book </w:t>
      </w:r>
      <w:r>
        <w:rPr>
          <w:i/>
        </w:rPr>
        <w:t>On the Universe</w:t>
      </w:r>
      <w:r>
        <w:t xml:space="preserve"> contained everything that Eusebius</w:t>
      </w:r>
      <w:r>
        <w:fldChar w:fldCharType="begin"/>
      </w:r>
      <w:r>
        <w:instrText xml:space="preserve"> XE "Eusebius" \f "Persons"</w:instrText>
      </w:r>
      <w:r>
        <w:fldChar w:fldCharType="end"/>
      </w:r>
      <w:r>
        <w:t xml:space="preserve"> noticed in that oration which he attributed to Justin</w:t>
      </w:r>
      <w:r>
        <w:fldChar w:fldCharType="begin"/>
      </w:r>
      <w:r>
        <w:instrText xml:space="preserve"> XE "Justin" \f "Persons"</w:instrText>
      </w:r>
      <w:r>
        <w:fldChar w:fldCharType="end"/>
      </w:r>
      <w:r>
        <w:t>. And since that book bore Justin’s name in some manuscripts, Eusebius, it seems, was deceived by seeing such a manuscript and persuaded Jerome</w:t>
      </w:r>
      <w:r>
        <w:fldChar w:fldCharType="begin"/>
      </w:r>
      <w:r>
        <w:instrText xml:space="preserve"> XE "Jerome" \f "Persons"</w:instrText>
      </w:r>
      <w:r>
        <w:fldChar w:fldCharType="end"/>
      </w:r>
      <w:r>
        <w:t xml:space="preserve"> and Photius</w:t>
      </w:r>
      <w:r>
        <w:fldChar w:fldCharType="begin"/>
      </w:r>
      <w:r>
        <w:instrText xml:space="preserve"> XE "Photius" \f "Persons"</w:instrText>
      </w:r>
      <w:r>
        <w:fldChar w:fldCharType="end"/>
      </w:r>
      <w:r>
        <w:t xml:space="preserve"> that some work written by Justin existed against the Gentiles, in which he discussed the nature of demons.</w:t>
      </w:r>
    </w:p>
    <w:p w14:paraId="10C72CDE" w14:textId="77777777" w:rsidR="005C2B3E" w:rsidRDefault="00000000">
      <w:pPr>
        <w:ind w:firstLine="360"/>
      </w:pPr>
      <w:r>
        <w:t>VI. After the two speeches against the Greeks, Eusebius</w:t>
      </w:r>
      <w:r>
        <w:fldChar w:fldCharType="begin"/>
      </w:r>
      <w:r>
        <w:instrText xml:space="preserve"> XE "Eusebius" \f "Persons"</w:instrText>
      </w:r>
      <w:r>
        <w:fldChar w:fldCharType="end"/>
      </w:r>
      <w:r>
        <w:t>, Jerome</w:t>
      </w:r>
      <w:r>
        <w:fldChar w:fldCharType="begin"/>
      </w:r>
      <w:r>
        <w:instrText xml:space="preserve"> XE "Jerome" \f "Persons"</w:instrText>
      </w:r>
      <w:r>
        <w:fldChar w:fldCharType="end"/>
      </w:r>
      <w:r>
        <w:t>, and Photius</w:t>
      </w:r>
      <w:r>
        <w:fldChar w:fldCharType="begin"/>
      </w:r>
      <w:r>
        <w:instrText xml:space="preserve"> XE "Photius" \f "Persons"</w:instrText>
      </w:r>
      <w:r>
        <w:fldChar w:fldCharType="end"/>
      </w:r>
      <w:r>
        <w:t xml:space="preserve"> mention the book </w:t>
      </w:r>
      <w:r>
        <w:rPr>
          <w:i/>
        </w:rPr>
        <w:t>On the Monarchy</w:t>
      </w:r>
      <w:r>
        <w:t xml:space="preserve">, or </w:t>
      </w:r>
      <w:r>
        <w:rPr>
          <w:i/>
        </w:rPr>
        <w:t>On the Singularity of God</w:t>
      </w:r>
      <w:r>
        <w:t>, about which there is considerable controversy among recent scholars, although none existed among the ancients. Scultetus counts this little book among the doubtful works. Natalis Alexander judges that it should be rejected as Justin</w:t>
      </w:r>
      <w:r>
        <w:fldChar w:fldCharType="begin"/>
      </w:r>
      <w:r>
        <w:instrText xml:space="preserve"> XE "Justin" \f "Persons"</w:instrText>
      </w:r>
      <w:r>
        <w:fldChar w:fldCharType="end"/>
      </w:r>
      <w:r>
        <w:t>’s by the learned; Tillemont, followed by many others, holds that it is either entirely a different work from the one Eusebius declares to be established by sacred and profane testimonies, or if it is the same, at least the part that referred to Scripture testimonies has entirely perished, since no trace of it exists. Halloixius quite cleverly suspects that Eusebius did not actually see the Scriptural testimonies in this book but only thought that he saw them.</w:t>
      </w:r>
    </w:p>
    <w:p w14:paraId="4411068E" w14:textId="77777777" w:rsidR="005C2B3E" w:rsidRDefault="00000000">
      <w:pPr>
        <w:ind w:firstLine="360"/>
      </w:pPr>
      <w:r>
        <w:t>Although Eusebius</w:t>
      </w:r>
      <w:r>
        <w:fldChar w:fldCharType="begin"/>
      </w:r>
      <w:r>
        <w:instrText xml:space="preserve"> XE "Eusebius" \f "Persons"</w:instrText>
      </w:r>
      <w:r>
        <w:fldChar w:fldCharType="end"/>
      </w:r>
      <w:r>
        <w:t xml:space="preserve"> has thrown learned men into this variety of opinions, if we interpret his words properly, this entire book is claimed for Justin</w:t>
      </w:r>
      <w:r>
        <w:fldChar w:fldCharType="begin"/>
      </w:r>
      <w:r>
        <w:instrText xml:space="preserve"> XE "Justin" \f "Persons"</w:instrText>
      </w:r>
      <w:r>
        <w:fldChar w:fldCharType="end"/>
      </w:r>
      <w:r>
        <w:t>, and he does not allow its integrity to be doubted. Thus he speaks in book 4, chapter 18: Παρὰ τούτους ἄλλος περὶ Θεοῦ μοναρχίας ἢν οὐ μόνον ἐκ τῶν παρʼ ἡμῖν Γραφῶν, ἀλλὰ καὶ ἐκ τῶν Ἑλληνικῶν συνίστησι βιβλίων. Valesius</w:t>
      </w:r>
      <w:r>
        <w:fldChar w:fldCharType="begin"/>
      </w:r>
      <w:r>
        <w:instrText xml:space="preserve"> XE "Valesius" \f "Persons"</w:instrText>
      </w:r>
      <w:r>
        <w:fldChar w:fldCharType="end"/>
      </w:r>
      <w:r>
        <w:t xml:space="preserve"> rendered this: “Besides these books, there is also another </w:t>
      </w:r>
      <w:r>
        <w:rPr>
          <w:i/>
        </w:rPr>
        <w:t>On the Monarchy of God</w:t>
      </w:r>
      <w:r>
        <w:t xml:space="preserve">, which he asserts not only by the authority of the sacred volumes among us but also by the testimonies of Gentile writers.” But I argue </w:t>
      </w:r>
      <w:r>
        <w:lastRenderedPageBreak/>
        <w:t xml:space="preserve">that it must be interpreted otherwise, supported by many reasons and examples: “Besides these books, there is also another </w:t>
      </w:r>
      <w:r>
        <w:rPr>
          <w:i/>
        </w:rPr>
        <w:t>On the Monarchy of God</w:t>
      </w:r>
      <w:r>
        <w:t>, which he asserts not only not from the sacred Scriptures among us but even from the very books of the Gentiles.”</w:t>
      </w:r>
    </w:p>
    <w:p w14:paraId="5C35617B" w14:textId="77777777" w:rsidR="005C2B3E" w:rsidRDefault="00000000">
      <w:pPr>
        <w:ind w:firstLine="360"/>
      </w:pPr>
      <w:r>
        <w:t>1° The opinion in this interpretation is clearer than in the first. For Eusebius</w:t>
      </w:r>
      <w:r>
        <w:fldChar w:fldCharType="begin"/>
      </w:r>
      <w:r>
        <w:instrText xml:space="preserve"> XE "Eusebius" \f "Persons"</w:instrText>
      </w:r>
      <w:r>
        <w:fldChar w:fldCharType="end"/>
      </w:r>
      <w:r>
        <w:t xml:space="preserve"> praises something unique and by no means ordinary. If Justin</w:t>
      </w:r>
      <w:r>
        <w:fldChar w:fldCharType="begin"/>
      </w:r>
      <w:r>
        <w:instrText xml:space="preserve"> XE "Justin" \f "Persons"</w:instrText>
      </w:r>
      <w:r>
        <w:fldChar w:fldCharType="end"/>
      </w:r>
      <w:r>
        <w:t xml:space="preserve"> had attacked the Gentiles by the authority of Scripture and profane writers, he would have done nothing to greatly surprise us, nothing beyond his own and others’ usual practice. But if, leaving out Scripture, the Gentiles were defeated by his own weapons, in this confidence of victory and the novelty of the work they will rightly be praised.</w:t>
      </w:r>
    </w:p>
    <w:p w14:paraId="06E99B1B" w14:textId="77777777" w:rsidR="005C2B3E" w:rsidRDefault="00000000">
      <w:pPr>
        <w:ind w:firstLine="360"/>
      </w:pPr>
      <w:r>
        <w:t xml:space="preserve">2° The most learned grammarians have often observed among the ancients that </w:t>
      </w:r>
      <w:r>
        <w:rPr>
          <w:i/>
        </w:rPr>
        <w:t>non modo</w:t>
      </w:r>
      <w:r>
        <w:t xml:space="preserve"> does not mean the same as </w:t>
      </w:r>
      <w:r>
        <w:rPr>
          <w:i/>
        </w:rPr>
        <w:t>non modo non</w:t>
      </w:r>
      <w:r>
        <w:t>, as in this example from Cicero</w:t>
      </w:r>
      <w:r>
        <w:fldChar w:fldCharType="begin"/>
      </w:r>
      <w:r>
        <w:instrText xml:space="preserve"> XE "Cicero" \f "Persons"</w:instrText>
      </w:r>
      <w:r>
        <w:fldChar w:fldCharType="end"/>
      </w:r>
      <w:r>
        <w:t xml:space="preserve">’s book 2 </w:t>
      </w:r>
      <w:r>
        <w:rPr>
          <w:i/>
        </w:rPr>
        <w:t>De officiis:</w:t>
      </w:r>
      <w:r>
        <w:t xml:space="preserve"> “These young men began to be at the same time, they should look to great things and strive for them with right zeal. They will do this with a stronger mind because not only is that age envied, but it is also favored.” Muretus collects other examples like this in </w:t>
      </w:r>
      <w:r>
        <w:rPr>
          <w:i/>
        </w:rPr>
        <w:t>Var. lect.</w:t>
      </w:r>
      <w:r>
        <w:t xml:space="preserve">, book 10, chapter 7. It is likely that the Latins took this from the Greeks, where it is certain that οὐχ οἷον does not mean the same as </w:t>
      </w:r>
      <w:r>
        <w:rPr>
          <w:i/>
        </w:rPr>
        <w:t>non modo non</w:t>
      </w:r>
      <w:r>
        <w:t>. But because there may be some who do not easily accept that οὐ μόνον sometimes means the same as οὐ μόνον οὐ among the Greeks, the matter seems to be clarified by adding examples. A parallel passage to this place of Eusebius</w:t>
      </w:r>
      <w:r>
        <w:fldChar w:fldCharType="begin"/>
      </w:r>
      <w:r>
        <w:instrText xml:space="preserve"> XE "Eusebius" \f "Persons"</w:instrText>
      </w:r>
      <w:r>
        <w:fldChar w:fldCharType="end"/>
      </w:r>
      <w:r>
        <w:t xml:space="preserve"> occurs in Justin</w:t>
      </w:r>
      <w:r>
        <w:fldChar w:fldCharType="begin"/>
      </w:r>
      <w:r>
        <w:instrText xml:space="preserve"> XE "Justin" \f "Persons"</w:instrText>
      </w:r>
      <w:r>
        <w:fldChar w:fldCharType="end"/>
      </w:r>
      <w:r>
        <w:t xml:space="preserve"> himself in </w:t>
      </w:r>
      <w:r>
        <w:rPr>
          <w:i/>
        </w:rPr>
        <w:t>Cohort.</w:t>
      </w:r>
      <w:r>
        <w:t xml:space="preserve">, no. 9, where, beginning to show the antiquity of Moses, he says: Οὐ γὰρ ἀπὸ τῶν θείων καὶ παρʼ ἡμῖν ἱστοριῶν μόνον ταῦτα ἀποδεῖξαι πειρῶμαι.… Ἀλλʼ ἀπὸ τῶν ὑμετέρων καὶ μηδὲν τῇ ἡμετέρᾳ θρησκείᾳ διαφερουσῶν ἱστοριῶν. Since Justin shows the antiquity of Moses not from sacred writers but from profane ones, I did not hesitate to render his words thus: “For I do not only try to prove these things from the divine histories among us, but also from yours, which differ in nothing from our religion.” Why should we doubt that Eusebius is to be interpreted in the same way, both in matter and words? If we seek testimonies of Scripture in the book </w:t>
      </w:r>
      <w:r>
        <w:rPr>
          <w:i/>
        </w:rPr>
        <w:t>On the Monarchy</w:t>
      </w:r>
      <w:r>
        <w:t xml:space="preserve">, a similar gap must be imagined in </w:t>
      </w:r>
      <w:r>
        <w:rPr>
          <w:i/>
        </w:rPr>
        <w:t>Cohortation to the Greeks</w:t>
      </w:r>
      <w:r>
        <w:t>, which no one would say is a defective and incomplete work.</w:t>
      </w:r>
    </w:p>
    <w:p w14:paraId="4AF0121B" w14:textId="77777777" w:rsidR="005C2B3E" w:rsidRDefault="00000000">
      <w:pPr>
        <w:ind w:firstLine="360"/>
      </w:pPr>
      <w:r>
        <w:t xml:space="preserve">In the </w:t>
      </w:r>
      <w:r>
        <w:rPr>
          <w:i/>
        </w:rPr>
        <w:t>Dialogue</w:t>
      </w:r>
      <w:r>
        <w:t xml:space="preserve"> of St</w:t>
      </w:r>
      <w:r>
        <w:fldChar w:fldCharType="begin"/>
      </w:r>
      <w:r>
        <w:instrText xml:space="preserve"> XE "St" \f "Persons"</w:instrText>
      </w:r>
      <w:r>
        <w:fldChar w:fldCharType="end"/>
      </w:r>
      <w:r>
        <w:t>. Justin</w:t>
      </w:r>
      <w:r>
        <w:fldChar w:fldCharType="begin"/>
      </w:r>
      <w:r>
        <w:instrText xml:space="preserve"> XE "Justin" \f "Persons"</w:instrText>
      </w:r>
      <w:r>
        <w:fldChar w:fldCharType="end"/>
      </w:r>
      <w:r>
        <w:t>, no. 17, the oldest manuscripts of Eusebius</w:t>
      </w:r>
      <w:r>
        <w:fldChar w:fldCharType="begin"/>
      </w:r>
      <w:r>
        <w:instrText xml:space="preserve"> XE "Eusebius" \f "Persons"</w:instrText>
      </w:r>
      <w:r>
        <w:fldChar w:fldCharType="end"/>
      </w:r>
      <w:r>
        <w:t xml:space="preserve">’ </w:t>
      </w:r>
      <w:r>
        <w:rPr>
          <w:i/>
        </w:rPr>
        <w:t>History</w:t>
      </w:r>
      <w:r>
        <w:t>, who cited this place of Justin in book 4, chapter 18, prove that one should read οὐ μόνον μετενοήσατε instead of οὐ μόνον οὐ. Athenagoras</w:t>
      </w:r>
      <w:r>
        <w:fldChar w:fldCharType="begin"/>
      </w:r>
      <w:r>
        <w:instrText xml:space="preserve"> XE "Athenagoras" \f "Persons"</w:instrText>
      </w:r>
      <w:r>
        <w:fldChar w:fldCharType="end"/>
      </w:r>
      <w:r>
        <w:t xml:space="preserve">, </w:t>
      </w:r>
      <w:r>
        <w:rPr>
          <w:i/>
        </w:rPr>
        <w:t>Legat.</w:t>
      </w:r>
      <w:r>
        <w:t xml:space="preserve">, no. 1, speaks thus about Christians: Οὐ μόνον τὸ ἀντιπαίειν, οὐδὲ μὴν δικάζεσθαι τοῖς ἄγουσι καὶ ἁρπάζουσιν ἡμᾶς, μεμαθηκότες· ἀλλὰ, τοῖς μὲν, κἂν κατὰ κόῤῥης προπηλακίζωσι, καὶ τὸ ἕτερον παίειν παρέχειν τῆς κεφαλῆς· τοῖς δὲ, εἰ τὸν χιτῶνα ἀφαίροιντο, ἐπιδιδόναι καὶ τὸ ἱμάτιον. “We have learned not only not to strike back or to bring a case against those who lead us away and seize us, but also to offer the other side of the head to those </w:t>
      </w:r>
      <w:r>
        <w:lastRenderedPageBreak/>
        <w:t>who strike us on the cheek; and to give our cloak also to those who take away our tunic.” Tatian</w:t>
      </w:r>
      <w:r>
        <w:fldChar w:fldCharType="begin"/>
      </w:r>
      <w:r>
        <w:instrText xml:space="preserve"> XE "Tatian" \f "Persons"</w:instrText>
      </w:r>
      <w:r>
        <w:fldChar w:fldCharType="end"/>
      </w:r>
      <w:r>
        <w:t xml:space="preserve">, no. 36: Πλὴν Ὅμηρος ἔστω μὴ μόνον ὕστερον τῶν Ἰλιακῶν, ἀλλὰ κατʼ ἐκεῖνον αὐτὸν ὑπειλήφθω τὸν τοῦ πολέμου καιρόν. “Let Homer be not only not later than the Iliad, but let him be considered equal to him in the time of war.” St. Cyprian entrusted a letter received from St. Firmilian, which is among the </w:t>
      </w:r>
      <w:r>
        <w:rPr>
          <w:i/>
        </w:rPr>
        <w:t>Cyprianic</w:t>
      </w:r>
      <w:r>
        <w:t xml:space="preserve"> 75, to no one to translate into Latin, but he himself undertook this task, as can be seen from the style. Many faithful interpreters have retained the Hellenism, among whom I will add one especially suitable to what is at hand. Thus St. Firmilian speaks about angels: “Certainly they are saddened when they see the diverse minds and divided wills of some, as if they do not only not invoke one and the same Lord together, but with separate and divided minds there can no longer be either conversation or common speech.” The meaning is: </w:t>
      </w:r>
      <w:r>
        <w:rPr>
          <w:i/>
        </w:rPr>
        <w:t>So that they not only do not invoke one and the same Lord together</w:t>
      </w:r>
      <w:r>
        <w:t>, but, etc. It seems that in the Greek context it was ὡς οὐ μόνον.</w:t>
      </w:r>
    </w:p>
    <w:p w14:paraId="76F37198" w14:textId="77777777" w:rsidR="005C2B3E" w:rsidRDefault="00000000">
      <w:pPr>
        <w:ind w:firstLine="360"/>
      </w:pPr>
      <w:r>
        <w:t xml:space="preserve">3° Neither at the beginning nor at the end is there any plan or will to object to the sacred Scripture by the heathens. Indeed, the holy martyr begins the little book in such a way that he promises to use </w:t>
      </w:r>
      <w:r>
        <w:rPr>
          <w:i/>
        </w:rPr>
        <w:t>entirely arguments drawn from the ancient poetry of Greek history:</w:t>
      </w:r>
      <w:r>
        <w:t xml:space="preserve"> he concludes in such a way that he encourages the Greeks to embrace </w:t>
      </w:r>
      <w:r>
        <w:rPr>
          <w:i/>
        </w:rPr>
        <w:t>that true and unchangeable name not only proclaimed in their own language but also by those who introduce the first elements of letters.</w:t>
      </w:r>
      <w:r>
        <w:t xml:space="preserve"> Why then should it be strange if this little work is woven entirely from verses supplied by the ancient history of the Greeks, that is, the ancient Greek literature, and does not touch on the holy Scriptures at all?</w:t>
      </w:r>
    </w:p>
    <w:p w14:paraId="7459C19C" w14:textId="77777777" w:rsidR="005C2B3E" w:rsidRDefault="00000000">
      <w:pPr>
        <w:pStyle w:val="Heading3"/>
      </w:pPr>
      <w:r>
        <w:t>CHAPTER 3</w:t>
      </w:r>
    </w:p>
    <w:p w14:paraId="3265855E" w14:textId="77777777" w:rsidR="005C2B3E" w:rsidRDefault="00000000">
      <w:pPr>
        <w:pStyle w:val="Heading4"/>
      </w:pPr>
      <w:r>
        <w:t>ON JUSTIN’S ZEAL FOR SPREADING THE TRUTH AND HIS WRITINGS AGAINST HERETICS</w:t>
      </w:r>
    </w:p>
    <w:p w14:paraId="7BBA3F30" w14:textId="77777777" w:rsidR="005C2B3E" w:rsidRDefault="00000000">
      <w:pPr>
        <w:spacing w:before="180" w:after="0"/>
        <w:ind w:left="720" w:right="320" w:hanging="360"/>
      </w:pPr>
      <w:r>
        <w:t>Justin</w:t>
      </w:r>
      <w:r>
        <w:fldChar w:fldCharType="begin"/>
      </w:r>
      <w:r>
        <w:instrText xml:space="preserve"> XE "Justin" \f "Persons"</w:instrText>
      </w:r>
      <w:r>
        <w:fldChar w:fldCharType="end"/>
      </w:r>
      <w:r>
        <w:t xml:space="preserve"> is occupied in teaching at Rome. II. He is inflamed with love of truth. III. He writes against Marcion and against all heresies. IV. On lost works. V. On the letter to Diognetus.</w:t>
      </w:r>
    </w:p>
    <w:p w14:paraId="3316FEB0" w14:textId="77777777" w:rsidR="005C2B3E" w:rsidRDefault="00000000">
      <w:r>
        <w:t xml:space="preserve">I. Since a considerable amount of time, as we have already said, passed from Justin’s </w:t>
      </w:r>
      <w:r>
        <w:rPr>
          <w:i/>
        </w:rPr>
        <w:t>Exhortation</w:t>
      </w:r>
      <w:r>
        <w:t xml:space="preserve"> to the first </w:t>
      </w:r>
      <w:r>
        <w:rPr>
          <w:i/>
        </w:rPr>
        <w:t>Apology</w:t>
      </w:r>
      <w:r>
        <w:t>, he spent all that time in Rome, devoting himself to teaching and writing. Hence Eusebius</w:t>
      </w:r>
      <w:r>
        <w:fldChar w:fldCharType="begin"/>
      </w:r>
      <w:r>
        <w:instrText xml:space="preserve"> XE "Eusebius" \f "Persons"</w:instrText>
      </w:r>
      <w:r>
        <w:fldChar w:fldCharType="end"/>
      </w:r>
      <w:r>
        <w:t xml:space="preserve">, about the holy martyr, in </w:t>
      </w:r>
      <w:r>
        <w:rPr>
          <w:i/>
        </w:rPr>
        <w:t>Hist.</w:t>
      </w:r>
      <w:r>
        <w:t xml:space="preserve"> book iv, chapter 11: Καὶ γὰρ ἐπὶ τῆς Ῥώμης τὰς διατριβὰς ἐποιεῖτο. “For he had his residence in the city of Rome.” Where he lived and what he did at home, we learn from the very </w:t>
      </w:r>
      <w:r>
        <w:rPr>
          <w:i/>
        </w:rPr>
        <w:t>Acts of his martyrdom</w:t>
      </w:r>
      <w:r>
        <w:t xml:space="preserve">. “I,” he says, “have stayed near the house of a certain Martin, by a bath called Timiotinus, up to now. But I came into the city of Rome a second time. I know no other meeting place except the one I mentioned; and if anyone wanted to come to me, I shared with him the teaching of the truth.” One of those who suffered with Justin, </w:t>
      </w:r>
      <w:r>
        <w:lastRenderedPageBreak/>
        <w:t xml:space="preserve">named Euelpistus, testifies that he </w:t>
      </w:r>
      <w:r>
        <w:rPr>
          <w:i/>
        </w:rPr>
        <w:t>heard the discourses of Justin with great pleasure</w:t>
      </w:r>
      <w:r>
        <w:t xml:space="preserve">. Even the prefect himself was aware of Justin’s zeal in instructing his disciples. For he asks, </w:t>
      </w:r>
      <w:r>
        <w:rPr>
          <w:i/>
        </w:rPr>
        <w:t>To what place do they meet, and does Justin gather his disciples there?</w:t>
      </w:r>
      <w:r>
        <w:t xml:space="preserve"> Then, turning to the companions of that confession and martyrdom: *Did Justin make you Christians?*</w:t>
      </w:r>
    </w:p>
    <w:p w14:paraId="14356F4C" w14:textId="77777777" w:rsidR="005C2B3E" w:rsidRDefault="00000000">
      <w:pPr>
        <w:ind w:firstLine="360"/>
      </w:pPr>
      <w:r>
        <w:t xml:space="preserve">II. The holy martyr carried out this task, as entrusted by God, with such zeal of spirit, such care and diligence, that he thought he would be guilty of a great sin in judgment if he had passed by any opportunity to teach, if through his fault anyone lacked the light of truth. We see that this thought settled in his mind from many places. “Therefore, it is our duty,” he says in </w:t>
      </w:r>
      <w:r>
        <w:rPr>
          <w:i/>
        </w:rPr>
        <w:t>Apol.</w:t>
      </w:r>
      <w:r>
        <w:t xml:space="preserve"> 1, no. 3, “to make available to all the chance to examine our life and teaching, so that we ourselves may not owe the penalty for those who, being blind, have sinned, because they seem to be ignorant of our matters.” He says in </w:t>
      </w:r>
      <w:r>
        <w:rPr>
          <w:i/>
        </w:rPr>
        <w:t>Dialog.</w:t>
      </w:r>
      <w:r>
        <w:t xml:space="preserve"> no. 82 that he has seen and tested: </w:t>
      </w:r>
      <w:r>
        <w:rPr>
          <w:i/>
        </w:rPr>
        <w:t>Whoever can speak the truth but does not, will be judged by God.</w:t>
      </w:r>
      <w:r>
        <w:t xml:space="preserve"> See nos. 38 and 44. So he says in no. 58: “I will bring you the Scriptures, and I do not want to show a display of words for mere skill; for I do not have such ability; but only the grace given to me by God to understand his Scriptures: of which grace I encourage all to become free and abundant sharers, lest I be condemned in judgment even for this reason.” Clearly, Justin’s charity was very broad: he was always ready to teach, hoping that among those he addressed someone from the elect would be found; and what happened to him in Ephesus disputing with the Jews, that for two days he bore their stubbornness in contradicting and denying what they had previously admitted, he declares he used the same gentleness and patience </w:t>
      </w:r>
      <w:r>
        <w:rPr>
          <w:i/>
        </w:rPr>
        <w:t>toward absolutely all from every kind of people</w:t>
      </w:r>
      <w:r>
        <w:t xml:space="preserve">, no. 64. Just as no human harshness slowed Justin’s patience and charity, so no dangers broke his steadfastness and courage of spirit: which is sufficiently shown by the openly and plainly offered </w:t>
      </w:r>
      <w:r>
        <w:rPr>
          <w:i/>
        </w:rPr>
        <w:t>Apologies</w:t>
      </w:r>
      <w:r>
        <w:t xml:space="preserve"> in very troublesome times, as we will now see. He describes himself excellently with these words, </w:t>
      </w:r>
      <w:r>
        <w:rPr>
          <w:i/>
        </w:rPr>
        <w:t>Dialog.</w:t>
      </w:r>
      <w:r>
        <w:t xml:space="preserve"> no. 128: “And indeed I said these things because I am so affected in mind that I have said nothing at all in which I care for anything other than to speak the truth, fearing no one, even if I must be torn apart by you immediately.”</w:t>
      </w:r>
    </w:p>
    <w:p w14:paraId="60FB636A" w14:textId="77777777" w:rsidR="005C2B3E" w:rsidRDefault="00000000">
      <w:pPr>
        <w:ind w:firstLine="360"/>
      </w:pPr>
      <w:r>
        <w:t>III. Justin</w:t>
      </w:r>
      <w:r>
        <w:fldChar w:fldCharType="begin"/>
      </w:r>
      <w:r>
        <w:instrText xml:space="preserve"> XE "Justin" \f "Persons"</w:instrText>
      </w:r>
      <w:r>
        <w:fldChar w:fldCharType="end"/>
      </w:r>
      <w:r>
        <w:t xml:space="preserve"> did not devote his efforts only to the Jews and pagans, but a large part of his work was against heretics. He tried not only to draw them back from error through conversations, as he himself testifies in </w:t>
      </w:r>
      <w:r>
        <w:rPr>
          <w:i/>
        </w:rPr>
        <w:t>Dialog.</w:t>
      </w:r>
      <w:r>
        <w:t xml:space="preserve"> no. 84, but also refuted all heresies with learned writings, and he undertook a special work against Marcion, who, while Justin was living in Rome and dedicating himself entirely to increasing the Church’s benefits, built up his heresy around the year 145. Saint Irenaeus cites a testimony from Justin’s </w:t>
      </w:r>
      <w:r>
        <w:rPr>
          <w:i/>
        </w:rPr>
        <w:t>Against Marcion</w:t>
      </w:r>
      <w:r>
        <w:t xml:space="preserve"> book, which we have placed in the Appendix. This work is called by Jerome</w:t>
      </w:r>
      <w:r>
        <w:fldChar w:fldCharType="begin"/>
      </w:r>
      <w:r>
        <w:instrText xml:space="preserve"> XE "Jerome" \f "Persons"</w:instrText>
      </w:r>
      <w:r>
        <w:fldChar w:fldCharType="end"/>
      </w:r>
      <w:r>
        <w:t xml:space="preserve"> </w:t>
      </w:r>
      <w:r>
        <w:rPr>
          <w:i/>
        </w:rPr>
        <w:t>a notable volume against Marcion</w:t>
      </w:r>
      <w:r>
        <w:t>; by Photius</w:t>
      </w:r>
      <w:r>
        <w:fldChar w:fldCharType="begin"/>
      </w:r>
      <w:r>
        <w:instrText xml:space="preserve"> XE "Photius" \f "Persons"</w:instrText>
      </w:r>
      <w:r>
        <w:fldChar w:fldCharType="end"/>
      </w:r>
      <w:r>
        <w:t xml:space="preserve">, codex 125, ἀναγκαῖοι λόγοι (necessary words). Justin had completed this treatise when he </w:t>
      </w:r>
      <w:r>
        <w:lastRenderedPageBreak/>
        <w:t xml:space="preserve">offered his first </w:t>
      </w:r>
      <w:r>
        <w:rPr>
          <w:i/>
        </w:rPr>
        <w:t>Apology</w:t>
      </w:r>
      <w:r>
        <w:t xml:space="preserve"> to the emperor; and Eusebius</w:t>
      </w:r>
      <w:r>
        <w:fldChar w:fldCharType="begin"/>
      </w:r>
      <w:r>
        <w:instrText xml:space="preserve"> XE "Eusebius" \f "Persons"</w:instrText>
      </w:r>
      <w:r>
        <w:fldChar w:fldCharType="end"/>
      </w:r>
      <w:r>
        <w:t xml:space="preserve"> clearly shows this, who speaks of Justin in book iv, chapter 11: Ὃς δὴ καὶ γράψας κατὰ Μαρκίωνος σύγγραμμα μνημονεύει ὡς καθʼ ὃν συνέταττε καιρὸν γνωριζομένου τῷ βίῳ τὰνδρός. “Who indeed, having also written a work against Marcion, mentions the man as still living while he was writing.” Then Eusebius brings forward that passage from Justin’s first </w:t>
      </w:r>
      <w:r>
        <w:rPr>
          <w:i/>
        </w:rPr>
        <w:t>Apology</w:t>
      </w:r>
      <w:r>
        <w:t>, no. 26: “Moreover, we know a certain Marcion from Pontus, who still survives.” Valesius</w:t>
      </w:r>
      <w:r>
        <w:fldChar w:fldCharType="begin"/>
      </w:r>
      <w:r>
        <w:instrText xml:space="preserve"> XE "Valesius" \f "Persons"</w:instrText>
      </w:r>
      <w:r>
        <w:fldChar w:fldCharType="end"/>
      </w:r>
      <w:r>
        <w:t xml:space="preserve"> rendered those earlier words, ὃς δὴ καὶ γράψας, as: </w:t>
      </w:r>
      <w:r>
        <w:rPr>
          <w:i/>
        </w:rPr>
        <w:t>Who in the book against Marcion</w:t>
      </w:r>
      <w:r>
        <w:t>, etc, and Nicephorus</w:t>
      </w:r>
      <w:r>
        <w:fldChar w:fldCharType="begin"/>
      </w:r>
      <w:r>
        <w:instrText xml:space="preserve"> XE "Nicephorus" \f "Persons"</w:instrText>
      </w:r>
      <w:r>
        <w:fldChar w:fldCharType="end"/>
      </w:r>
      <w:r>
        <w:t xml:space="preserve"> understood them no differently, thinking the testimony of Justin cited by Eusebius was taken from the book </w:t>
      </w:r>
      <w:r>
        <w:rPr>
          <w:i/>
        </w:rPr>
        <w:t>Against Marcion</w:t>
      </w:r>
      <w:r>
        <w:t xml:space="preserve">. Hence some suppose Eusebius’s memory failed, others think Justin said the same about Marcion both in the </w:t>
      </w:r>
      <w:r>
        <w:rPr>
          <w:i/>
        </w:rPr>
        <w:t>Apology</w:t>
      </w:r>
      <w:r>
        <w:t xml:space="preserve"> and in the book </w:t>
      </w:r>
      <w:r>
        <w:rPr>
          <w:i/>
        </w:rPr>
        <w:t>Against Marcion</w:t>
      </w:r>
      <w:r>
        <w:t xml:space="preserve">. But Eusebius clearly distinguishes the book from which he took that testimony from the work </w:t>
      </w:r>
      <w:r>
        <w:rPr>
          <w:i/>
        </w:rPr>
        <w:t>Against Marcion</w:t>
      </w:r>
      <w:r>
        <w:t xml:space="preserve">. For ὃς δὴ καὶ γράψας does not mean the same as </w:t>
      </w:r>
      <w:r>
        <w:rPr>
          <w:i/>
        </w:rPr>
        <w:t>writing</w:t>
      </w:r>
      <w:r>
        <w:t xml:space="preserve">, but the same as: </w:t>
      </w:r>
      <w:r>
        <w:rPr>
          <w:i/>
        </w:rPr>
        <w:t>Who, having also written the work against Marcion</w:t>
      </w:r>
      <w:r>
        <w:t xml:space="preserve">, or </w:t>
      </w:r>
      <w:r>
        <w:rPr>
          <w:i/>
        </w:rPr>
        <w:t>after he had also written the work against Marcion:</w:t>
      </w:r>
      <w:r>
        <w:t xml:space="preserve"> and so Eusebius distinguishes two works of Justin here; one </w:t>
      </w:r>
      <w:r>
        <w:rPr>
          <w:i/>
        </w:rPr>
        <w:t>Against Marcion</w:t>
      </w:r>
      <w:r>
        <w:t xml:space="preserve">, the other in which Justin spoke about him as still living. Those very words, </w:t>
      </w:r>
      <w:r>
        <w:rPr>
          <w:i/>
        </w:rPr>
        <w:t>Moreover, we know a certain Marcion</w:t>
      </w:r>
      <w:r>
        <w:t xml:space="preserve">, are from a man not refuting Marcion in a whole book, but mentioning him incidentally. What Eusebius adds, that Justin briefly adds: </w:t>
      </w:r>
      <w:r>
        <w:rPr>
          <w:i/>
        </w:rPr>
        <w:t>There is also a book composed by us against all heresies that have ever existed, which book we will hand over to you to be read if it seems good</w:t>
      </w:r>
      <w:r>
        <w:t xml:space="preserve">, makes it clear that Eusebius indicates the work in which Justin addressed the emperors. Whether that work </w:t>
      </w:r>
      <w:r>
        <w:rPr>
          <w:i/>
        </w:rPr>
        <w:t>Against Heresies</w:t>
      </w:r>
      <w:r>
        <w:t xml:space="preserve"> was written before the book </w:t>
      </w:r>
      <w:r>
        <w:rPr>
          <w:i/>
        </w:rPr>
        <w:t>Against Marcion</w:t>
      </w:r>
      <w:r>
        <w:t xml:space="preserve"> or not, I cannot decide; but certainly both works are older than the </w:t>
      </w:r>
      <w:r>
        <w:rPr>
          <w:i/>
        </w:rPr>
        <w:t>Apologies</w:t>
      </w:r>
      <w:r>
        <w:t>.</w:t>
      </w:r>
    </w:p>
    <w:p w14:paraId="2721CB2D" w14:textId="77777777" w:rsidR="005C2B3E" w:rsidRDefault="00000000">
      <w:pPr>
        <w:ind w:firstLine="360"/>
      </w:pPr>
      <w:r>
        <w:t>IV</w:t>
      </w:r>
      <w:r>
        <w:fldChar w:fldCharType="begin"/>
      </w:r>
      <w:r>
        <w:instrText xml:space="preserve"> XE "IV" \f "Persons"</w:instrText>
      </w:r>
      <w:r>
        <w:fldChar w:fldCharType="end"/>
      </w:r>
      <w:r>
        <w:t>. Eusebius</w:t>
      </w:r>
      <w:r>
        <w:fldChar w:fldCharType="begin"/>
      </w:r>
      <w:r>
        <w:instrText xml:space="preserve"> XE "Eusebius" \f "Persons"</w:instrText>
      </w:r>
      <w:r>
        <w:fldChar w:fldCharType="end"/>
      </w:r>
      <w:r>
        <w:t xml:space="preserve"> mentions another work of Justin</w:t>
      </w:r>
      <w:r>
        <w:fldChar w:fldCharType="begin"/>
      </w:r>
      <w:r>
        <w:instrText xml:space="preserve"> XE "Justin" \f "Persons"</w:instrText>
      </w:r>
      <w:r>
        <w:fldChar w:fldCharType="end"/>
      </w:r>
      <w:r>
        <w:t>’s, of which he speaks as follows: Καὶ ἄλλο σχολικὸν περὶ ψυχῆς, ἐν ᾦ διαφόρους πεύσεις προτείνας κατὰ τοῦ περὶ τὴν ὑπόθεσιν προβλήματος, τῶν παρʼ Ἕλλησι φιλοσόφων παρατίθεται τὰς δόξας· αἷς καὶ ἀντιλέξειν ὑπισχνεῖται, τήν τε αὐτὸς αὑτοῦ δόξαν ἐν ἑτέρῳ παραθήσεθαι συγγράμματι. “Another book of the excerpts about the soul, in which, proposing various questions related to the subject, he brings forward the opinions of Greek philosophers; to which he also promises to reply, and to set forth his own opinion in another work.” Whether Justin kept these promises Eusebius does not make clear, nor does he seem to have understood it himself. I remain uncertain whether this work was composed at the beginnings of his conversion or near the end of his life. For both those times were notable for Justin’s disputes with philosophers. It would not be inappropriate to place this book near the beginning, as it seems more a light exercise against philosophers than a work taken up from mature religion. But since after Justin returned to Rome he had a serious conflict with philosophers, perhaps he composed this work then, and death prevented him from completing the other.</w:t>
      </w:r>
    </w:p>
    <w:p w14:paraId="567C45E1" w14:textId="77777777" w:rsidR="005C2B3E" w:rsidRDefault="00000000">
      <w:pPr>
        <w:ind w:firstLine="360"/>
      </w:pPr>
      <w:r>
        <w:lastRenderedPageBreak/>
        <w:t>Before this book, Eusebius</w:t>
      </w:r>
      <w:r>
        <w:fldChar w:fldCharType="begin"/>
      </w:r>
      <w:r>
        <w:instrText xml:space="preserve"> XE "Eusebius" \f "Persons"</w:instrText>
      </w:r>
      <w:r>
        <w:fldChar w:fldCharType="end"/>
      </w:r>
      <w:r>
        <w:t xml:space="preserve"> mentions the </w:t>
      </w:r>
      <w:r>
        <w:rPr>
          <w:i/>
        </w:rPr>
        <w:t>Psalter</w:t>
      </w:r>
      <w:r>
        <w:t>, another work of Justin</w:t>
      </w:r>
      <w:r>
        <w:fldChar w:fldCharType="begin"/>
      </w:r>
      <w:r>
        <w:instrText xml:space="preserve"> XE "Justin" \f "Persons"</w:instrText>
      </w:r>
      <w:r>
        <w:fldChar w:fldCharType="end"/>
      </w:r>
      <w:r>
        <w:t>’s, about which nothing seems possible to determine. Regarding the works falsely attributed to Justin, which have been rejected into the Appendix, a note is prefixed to each explaining my opinion. But in Eusebius’s time many genuine works existed that were neither mentioned by Eusebius nor have come down to us. He says this: Πλεῖστα δὲ καὶ ἕτερα παρὰ πολλοῖς φέρεται ἀδελφοῖς τῶν αὐτοῦ πόνων. “There are also very many other monuments of his labor among many brothers.” Among these I would not count an explanation of the Apocalypse (for Justin and Irenaeus</w:t>
      </w:r>
      <w:r>
        <w:fldChar w:fldCharType="begin"/>
      </w:r>
      <w:r>
        <w:instrText xml:space="preserve"> XE "Irenaeus" \f "Persons"</w:instrText>
      </w:r>
      <w:r>
        <w:fldChar w:fldCharType="end"/>
      </w:r>
      <w:r>
        <w:t xml:space="preserve"> are said to have interpreted it, because they explained some passages when occasion arose), nor a commentary </w:t>
      </w:r>
      <w:r>
        <w:rPr>
          <w:i/>
        </w:rPr>
        <w:t>on the Hexaemeron</w:t>
      </w:r>
      <w:r>
        <w:t xml:space="preserve">, nor a book </w:t>
      </w:r>
      <w:r>
        <w:rPr>
          <w:i/>
        </w:rPr>
        <w:t>On the Resurrection</w:t>
      </w:r>
      <w:r>
        <w:t xml:space="preserve">, about which we treated in the second part of the Appendix, nor the </w:t>
      </w:r>
      <w:r>
        <w:rPr>
          <w:i/>
        </w:rPr>
        <w:t>Treatise on Providence and Faith against Euphrasius the</w:t>
      </w:r>
      <w:r>
        <w:fldChar w:fldCharType="begin"/>
      </w:r>
      <w:r>
        <w:instrText xml:space="preserve"> XE "Euphrasius the" \f "Persons"</w:instrText>
      </w:r>
      <w:r>
        <w:fldChar w:fldCharType="end"/>
      </w:r>
      <w:r>
        <w:rPr>
          <w:i/>
        </w:rPr>
        <w:t xml:space="preserve"> Sophist</w:t>
      </w:r>
      <w:r>
        <w:t>, cited by Saint Maximus, volume II, page 154.</w:t>
      </w:r>
    </w:p>
    <w:p w14:paraId="78919BFB" w14:textId="77777777" w:rsidR="005C2B3E" w:rsidRDefault="00000000">
      <w:pPr>
        <w:ind w:firstLine="360"/>
      </w:pPr>
      <w:r>
        <w:t xml:space="preserve">V. But the same cannot be said of the very excellent </w:t>
      </w:r>
      <w:r>
        <w:rPr>
          <w:i/>
        </w:rPr>
        <w:t>Epistle to Diognetus</w:t>
      </w:r>
      <w:r>
        <w:t>, which many learned men attribute to Justin</w:t>
      </w:r>
      <w:r>
        <w:fldChar w:fldCharType="begin"/>
      </w:r>
      <w:r>
        <w:instrText xml:space="preserve"> XE "Justin" \f "Persons"</w:instrText>
      </w:r>
      <w:r>
        <w:fldChar w:fldCharType="end"/>
      </w:r>
      <w:r>
        <w:t>, though others oppose this and point out differences in style and time. Indeed, although I grant to no one who wishes to add honor to Justin’s name by this outstanding work that I would assign it to him as firmly as other works, which are mentioned by the ancients and naturally show many marks of their author, I also do not agree with those who completely reject this epistle from Justin, thinking it closer to the apostolic age. If the difference in style is noted, the other things—both the opinions and the time—agree well enough.</w:t>
      </w:r>
    </w:p>
    <w:p w14:paraId="0519E4D2" w14:textId="77777777" w:rsidR="005C2B3E" w:rsidRDefault="00000000">
      <w:pPr>
        <w:ind w:firstLine="360"/>
      </w:pPr>
      <w:r>
        <w:t xml:space="preserve">Not only is the beginning of the </w:t>
      </w:r>
      <w:r>
        <w:rPr>
          <w:i/>
        </w:rPr>
        <w:t>Epistle to Diognetus</w:t>
      </w:r>
      <w:r>
        <w:t xml:space="preserve"> almost the same as that of the </w:t>
      </w:r>
      <w:r>
        <w:rPr>
          <w:i/>
        </w:rPr>
        <w:t>Exhortation to the Greeks</w:t>
      </w:r>
      <w:r>
        <w:t>, but also some other passages in numbers 6 and 7 show similar places of Justin</w:t>
      </w:r>
      <w:r>
        <w:fldChar w:fldCharType="begin"/>
      </w:r>
      <w:r>
        <w:instrText xml:space="preserve"> XE "Justin" \f "Persons"</w:instrText>
      </w:r>
      <w:r>
        <w:fldChar w:fldCharType="end"/>
      </w:r>
      <w:r>
        <w:t xml:space="preserve"> that we have indicated.</w:t>
      </w:r>
    </w:p>
    <w:p w14:paraId="4D6C10D9" w14:textId="77777777" w:rsidR="005C2B3E" w:rsidRDefault="00000000">
      <w:pPr>
        <w:ind w:firstLine="360"/>
      </w:pPr>
      <w:r>
        <w:t>The Tillemonts, who were the first to reject this epistle as Justin</w:t>
      </w:r>
      <w:r>
        <w:fldChar w:fldCharType="begin"/>
      </w:r>
      <w:r>
        <w:instrText xml:space="preserve"> XE "Justin" \f "Persons"</w:instrText>
      </w:r>
      <w:r>
        <w:fldChar w:fldCharType="end"/>
      </w:r>
      <w:r>
        <w:t>’s, brought their opinion to this conclusion not only because of the difference in style but also due to certain signs of an age later than Justin’s, such as the question of Diognetus</w:t>
      </w:r>
      <w:r>
        <w:fldChar w:fldCharType="begin"/>
      </w:r>
      <w:r>
        <w:instrText xml:space="preserve"> XE "Diognetus" \f "Persons"</w:instrText>
      </w:r>
      <w:r>
        <w:fldChar w:fldCharType="end"/>
      </w:r>
      <w:r>
        <w:t xml:space="preserve"> in number 1: </w:t>
      </w:r>
      <w:r>
        <w:rPr>
          <w:i/>
        </w:rPr>
        <w:t>Why has this new kind or institution of Christians only now begun to come into practice and not before?</w:t>
      </w:r>
      <w:r>
        <w:t xml:space="preserve"> Then also what is said in number 3, that the Jews are thought </w:t>
      </w:r>
      <w:r>
        <w:rPr>
          <w:i/>
        </w:rPr>
        <w:t>to make sacrifices to God through blood, nests, and burnt offerings, and to honor him with these:</w:t>
      </w:r>
      <w:r>
        <w:t xml:space="preserve"> and finally the title </w:t>
      </w:r>
      <w:r>
        <w:rPr>
          <w:i/>
        </w:rPr>
        <w:t>disciples of the apostles,</w:t>
      </w:r>
      <w:r>
        <w:t xml:space="preserve"> which the author of the epistle takes for himself in number 11.</w:t>
      </w:r>
    </w:p>
    <w:p w14:paraId="45CF3663" w14:textId="77777777" w:rsidR="005C2B3E" w:rsidRDefault="00000000">
      <w:pPr>
        <w:ind w:firstLine="360"/>
      </w:pPr>
      <w:r>
        <w:t>The objections raised by the very learned man to prove that this epistle is older than Justin</w:t>
      </w:r>
      <w:r>
        <w:fldChar w:fldCharType="begin"/>
      </w:r>
      <w:r>
        <w:instrText xml:space="preserve"> XE "Justin" \f "Persons"</w:instrText>
      </w:r>
      <w:r>
        <w:fldChar w:fldCharType="end"/>
      </w:r>
      <w:r>
        <w:t xml:space="preserve"> are not difficult to resolve. For why would the Christian religion seem not very recent in Justin’s time, when Tertullian</w:t>
      </w:r>
      <w:r>
        <w:fldChar w:fldCharType="begin"/>
      </w:r>
      <w:r>
        <w:instrText xml:space="preserve"> XE "Tertullian" \f "Persons"</w:instrText>
      </w:r>
      <w:r>
        <w:fldChar w:fldCharType="end"/>
      </w:r>
      <w:r>
        <w:t xml:space="preserve"> said, </w:t>
      </w:r>
      <w:r>
        <w:rPr>
          <w:i/>
        </w:rPr>
        <w:t>We are of yesterday</w:t>
      </w:r>
      <w:r>
        <w:t xml:space="preserve"> (</w:t>
      </w:r>
      <w:r>
        <w:rPr>
          <w:i/>
        </w:rPr>
        <w:t>Apology</w:t>
      </w:r>
      <w:r>
        <w:t xml:space="preserve">, chapter 37)? Justin himself uses the same way of speaking in </w:t>
      </w:r>
      <w:r>
        <w:rPr>
          <w:i/>
        </w:rPr>
        <w:t>Apology</w:t>
      </w:r>
      <w:r>
        <w:t xml:space="preserve"> 1, number 63. He says, </w:t>
      </w:r>
      <w:r>
        <w:rPr>
          <w:i/>
        </w:rPr>
        <w:t>Jesus Christ, who before was the Word, and now was seen sometimes in the form of fire, sometimes in an incorporeal image:</w:t>
      </w:r>
      <w:r>
        <w:t xml:space="preserve"> “now by the will of the Father made man for the </w:t>
      </w:r>
      <w:r>
        <w:lastRenderedPageBreak/>
        <w:t>sake of mankind,” νῦν δὲ διὰ θελήματος Θεοῦ ὑπὲρ τοῦ ἀνθρωπείου γένους ἄνθρωπος γενόμενος.</w:t>
      </w:r>
    </w:p>
    <w:p w14:paraId="396660D6" w14:textId="77777777" w:rsidR="005C2B3E" w:rsidRDefault="00000000">
      <w:pPr>
        <w:ind w:firstLine="360"/>
      </w:pPr>
      <w:r>
        <w:t>Indeed, the Jews stopped offering sacrifices after the destruction of the city and temple in the year 70. Yet, when the author of the epistle explains what difference there is between Jews and Christians, he rightly criticizes the bloody animal sacrifices, which were both a notable part of the Jewish worship and, though taken from them by force, the Jews still retained them at least in spirit and will if not in practice. Many others also stirred up the Jews in the same way. Saint</w:t>
      </w:r>
      <w:r>
        <w:fldChar w:fldCharType="begin"/>
      </w:r>
      <w:r>
        <w:instrText xml:space="preserve"> XE "Saint" \f "Persons"</w:instrText>
      </w:r>
      <w:r>
        <w:fldChar w:fldCharType="end"/>
      </w:r>
      <w:r>
        <w:t xml:space="preserve"> Phileas the martyr speaks of the Jews thus, </w:t>
      </w:r>
      <w:r>
        <w:rPr>
          <w:i/>
        </w:rPr>
        <w:t>Acts of the Martyrs</w:t>
      </w:r>
      <w:r>
        <w:t>, p. 444: “The command was only for the Jews to sacrifice to God alone in Jerusalem. But now the Jews sin by celebrating their solemn rites elsewhere.” Eusebius</w:t>
      </w:r>
      <w:r>
        <w:fldChar w:fldCharType="begin"/>
      </w:r>
      <w:r>
        <w:instrText xml:space="preserve"> XE "Eusebius" \f "Persons"</w:instrText>
      </w:r>
      <w:r>
        <w:fldChar w:fldCharType="end"/>
      </w:r>
      <w:r>
        <w:t xml:space="preserve">, in Psalm 65, number 15, mocks the foolish stories of the Jews, </w:t>
      </w:r>
      <w:r>
        <w:rPr>
          <w:i/>
        </w:rPr>
        <w:t>That God is pleased by burnt offerings, incense, or the blood of rams, bulls, and goats.</w:t>
      </w:r>
      <w:r>
        <w:t xml:space="preserve"> Julian</w:t>
      </w:r>
      <w:r>
        <w:fldChar w:fldCharType="begin"/>
      </w:r>
      <w:r>
        <w:instrText xml:space="preserve"> XE "Julian" \f "Persons"</w:instrText>
      </w:r>
      <w:r>
        <w:fldChar w:fldCharType="end"/>
      </w:r>
      <w:r>
        <w:t>, in Saint Cyril of Alexandria, book 9, p. 305, asks why Christians do not at least sacrifice to God. He claims that the Jews still sacrifice in their own homes and pray before they sacrifice, and give the right arm as first fruits to the priests; but being deprived of the temple and altar, or, as commonly called, the sanctuary, they are prevented from offering the first fruits of victims to God. Hilary</w:t>
      </w:r>
      <w:r>
        <w:fldChar w:fldCharType="begin"/>
      </w:r>
      <w:r>
        <w:instrText xml:space="preserve"> XE "Hilary" \f "Persons"</w:instrText>
      </w:r>
      <w:r>
        <w:fldChar w:fldCharType="end"/>
      </w:r>
      <w:r>
        <w:t xml:space="preserve"> says of the same in Psalm 58, number 12: “By a different form of that legitimate priesthood, they imitate burnt offerings and circumcision: although these are only lawful within Jerusalem.”</w:t>
      </w:r>
    </w:p>
    <w:p w14:paraId="279DC8A9" w14:textId="77777777" w:rsidR="005C2B3E" w:rsidRDefault="00000000">
      <w:pPr>
        <w:ind w:firstLine="360"/>
      </w:pPr>
      <w:r>
        <w:t xml:space="preserve">Tillemont unjustly thinks that these words of the epistle: </w:t>
      </w:r>
      <w:r>
        <w:rPr>
          <w:i/>
        </w:rPr>
        <w:t>Since I was a disciple of the apostles, I became a teacher of the Gentiles</w:t>
      </w:r>
      <w:r>
        <w:t xml:space="preserve"> are from a man established by the apostles themselves and older than Justin</w:t>
      </w:r>
      <w:r>
        <w:fldChar w:fldCharType="begin"/>
      </w:r>
      <w:r>
        <w:instrText xml:space="preserve"> XE "Justin" \f "Persons"</w:instrText>
      </w:r>
      <w:r>
        <w:fldChar w:fldCharType="end"/>
      </w:r>
      <w:r>
        <w:t xml:space="preserve">. A more accurate interpretation would be if we render it: </w:t>
      </w:r>
      <w:r>
        <w:rPr>
          <w:i/>
        </w:rPr>
        <w:t>Having become a disciple of the apostles, I became a teacher of the Gentiles.</w:t>
      </w:r>
      <w:r>
        <w:t xml:space="preserve"> The title of teacher of the Gentiles, as well as disciple of the apostles, should not be taken strictly. Just as he does not call himself a teacher of the Gentiles because of the dignity of the office, but because of his zeal for preaching the doctrine, so the discipline received from the apostles does not signify an honorary title, which was then highly valued, but is common to all who, rejecting philosophers, embraced the faith preached by the apostles. For the author of the epistle invites all to receive the same benefit and honor: “What has been entrusted to me I serve to those who become disciples worthy of the truth.” In the same sense, the author of the epistle to Basil</w:t>
      </w:r>
      <w:r>
        <w:fldChar w:fldCharType="begin"/>
      </w:r>
      <w:r>
        <w:instrText xml:space="preserve"> XE "Basil" \f "Persons"</w:instrText>
      </w:r>
      <w:r>
        <w:fldChar w:fldCharType="end"/>
      </w:r>
      <w:r>
        <w:t xml:space="preserve">, whom I do not think is Basil himself, professes to be a </w:t>
      </w:r>
      <w:r>
        <w:rPr>
          <w:i/>
        </w:rPr>
        <w:t>disciple of the fishermen.</w:t>
      </w:r>
      <w:r>
        <w:t xml:space="preserve"> Justin could have made the same profession. Therefore, there is nothing in this epistle that does not fit Justin’s age; indeed, the title apostle, under which Paul</w:t>
      </w:r>
      <w:r>
        <w:fldChar w:fldCharType="begin"/>
      </w:r>
      <w:r>
        <w:instrText xml:space="preserve"> XE "Paul" \f "Persons"</w:instrText>
      </w:r>
      <w:r>
        <w:fldChar w:fldCharType="end"/>
      </w:r>
      <w:r>
        <w:t xml:space="preserve"> is tacitly designated in number 12, cannot be referred to the apostolic age. Without any reason at all, Tillemont suspects this passage, indeed the last part of the epistle from these words οὗτος ὁ ἀπʼ ἀρχῆς, to have been taken from another; although he does not claim this conjecture as his own, but reports it as accepted by a learned man whom he does not name.</w:t>
      </w:r>
    </w:p>
    <w:p w14:paraId="6B27C9D8" w14:textId="77777777" w:rsidR="005C2B3E" w:rsidRDefault="00000000">
      <w:pPr>
        <w:ind w:firstLine="360"/>
      </w:pPr>
      <w:r>
        <w:lastRenderedPageBreak/>
        <w:t>The same very learned writer thinks that even if the objections he raised are answered, the difference in style alone will be enough reason why this work should not be attributed to Justin</w:t>
      </w:r>
      <w:r>
        <w:fldChar w:fldCharType="begin"/>
      </w:r>
      <w:r>
        <w:instrText xml:space="preserve"> XE "Justin" \f "Persons"</w:instrText>
      </w:r>
      <w:r>
        <w:fldChar w:fldCharType="end"/>
      </w:r>
      <w:r>
        <w:t xml:space="preserve">. I certainly do not say that I am lightly moved by this difficulty; and for that reason, since I was uncertain, I neither separated this epistle from the works of Justin nor placed it in the place it would belong if it were certainly a work of Justin. For if anyone wishes to say that Justin followed a more elegant style of speaking in the </w:t>
      </w:r>
      <w:r>
        <w:rPr>
          <w:i/>
        </w:rPr>
        <w:t>Cohortatio</w:t>
      </w:r>
      <w:r>
        <w:t xml:space="preserve"> than in his other works, and so in this epistle followed the most elegant and most sublime style, it must be referred to the beginnings of his conversion and considered older than the </w:t>
      </w:r>
      <w:r>
        <w:rPr>
          <w:i/>
        </w:rPr>
        <w:t>Apologies</w:t>
      </w:r>
      <w:r>
        <w:t>, in which, inflamed by zeal for defending the religion, he pays little attention to the ornaments of speech. The conjecture of Halloix, accepted by many learned men, is that Diognetus</w:t>
      </w:r>
      <w:r>
        <w:fldChar w:fldCharType="begin"/>
      </w:r>
      <w:r>
        <w:instrText xml:space="preserve"> XE "Diognetus" \f "Persons"</w:instrText>
      </w:r>
      <w:r>
        <w:fldChar w:fldCharType="end"/>
      </w:r>
      <w:r>
        <w:t>, to whom the epistle was written, was the very man whom Marcus Aurelius</w:t>
      </w:r>
      <w:r>
        <w:fldChar w:fldCharType="begin"/>
      </w:r>
      <w:r>
        <w:instrText xml:space="preserve"> XE "Marcus Aurelius" \f "Persons"</w:instrText>
      </w:r>
      <w:r>
        <w:fldChar w:fldCharType="end"/>
      </w:r>
      <w:r>
        <w:t xml:space="preserve"> used as both a painting master and a far better adviser in other matters.</w:t>
      </w:r>
    </w:p>
    <w:p w14:paraId="70774420" w14:textId="77777777" w:rsidR="005C2B3E" w:rsidRDefault="00000000">
      <w:pPr>
        <w:pStyle w:val="Heading3"/>
      </w:pPr>
      <w:r>
        <w:t>CHAPTER 4</w:t>
      </w:r>
    </w:p>
    <w:p w14:paraId="2A7D65C1" w14:textId="77777777" w:rsidR="005C2B3E" w:rsidRDefault="00000000">
      <w:pPr>
        <w:pStyle w:val="Heading4"/>
      </w:pPr>
      <w:r>
        <w:t>ON THE FIRST HOLY APOLOGY OF JUSTIN AND THE ORIGIN OF THE THREE CHARGES BROUGHT AGAINST CHRISTIANS</w:t>
      </w:r>
    </w:p>
    <w:p w14:paraId="27B566C5" w14:textId="77777777" w:rsidR="005C2B3E" w:rsidRDefault="00000000">
      <w:pPr>
        <w:spacing w:before="180" w:after="0"/>
        <w:ind w:left="720" w:right="320" w:hanging="360"/>
      </w:pPr>
      <w:r>
        <w:t>On the chief charges brought against the Christian name. II. Justin</w:t>
      </w:r>
      <w:r>
        <w:fldChar w:fldCharType="begin"/>
      </w:r>
      <w:r>
        <w:instrText xml:space="preserve"> XE "Justin" \f "Persons"</w:instrText>
      </w:r>
      <w:r>
        <w:fldChar w:fldCharType="end"/>
      </w:r>
      <w:r>
        <w:t xml:space="preserve"> reports that after the Lord’s ascension, envoys were sent by the Jews to spread these rumors. III. Others say that it arose from the shameful life of heretics. The differing opinions are reconciled into one view. IV. The origin of the charges is placed before the capture of Jerusalem. V. At one time, these charges ceased to be spread.</w:t>
      </w:r>
    </w:p>
    <w:p w14:paraId="75345C3E" w14:textId="77777777" w:rsidR="005C2B3E" w:rsidRDefault="00000000">
      <w:r>
        <w:t>I. The hatred against the Christian religion, suppressed under Adrian with the favor of Christians, always remained in the minds of the pagans and broke out violently under Antoninus</w:t>
      </w:r>
      <w:r>
        <w:fldChar w:fldCharType="begin"/>
      </w:r>
      <w:r>
        <w:instrText xml:space="preserve"> XE "Antoninus" \f "Persons"</w:instrText>
      </w:r>
      <w:r>
        <w:fldChar w:fldCharType="end"/>
      </w:r>
      <w:r>
        <w:t xml:space="preserve">. Certainly, no edict of the best emperor caused the persecution, but it seems to have been set off by popular riots, as we shall now see from the letters of Antoninus, especially from the disasters that arose in various parts of the empire, which they foolishly hoped could be averted by the blood of Christians. Complaints against Christians were brought to Antoninus from many places; and it was not difficult for such a just cause to reach his ears. In this matter, the zeal of Justin shone forth, who, having his residence at Rome, offered to the emperor and his adopted sons, and to the senate and people of Rome, a notable </w:t>
      </w:r>
      <w:r>
        <w:rPr>
          <w:i/>
        </w:rPr>
        <w:t>Apology</w:t>
      </w:r>
      <w:r>
        <w:t xml:space="preserve"> on behalf of all Christians.</w:t>
      </w:r>
    </w:p>
    <w:p w14:paraId="74C3BE11" w14:textId="77777777" w:rsidR="005C2B3E" w:rsidRDefault="00000000">
      <w:pPr>
        <w:ind w:firstLine="360"/>
      </w:pPr>
      <w:r>
        <w:t xml:space="preserve">But before we examine in what year this offered </w:t>
      </w:r>
      <w:r>
        <w:rPr>
          <w:i/>
        </w:rPr>
        <w:t>Apology</w:t>
      </w:r>
      <w:r>
        <w:t xml:space="preserve"> was made, it seems worth the delay to say a few things about the slanders invented against Christians, and to inquire by which authors and from what time they were spread. For in this way we will illuminate some testimonies of the holy martyr, which the narrowness of notes did not </w:t>
      </w:r>
      <w:r>
        <w:lastRenderedPageBreak/>
        <w:t>allow to explain. Three charges were especially brought against Christians: that they were atheists, that they indulged in promiscuous crimes, and that they devoured the flesh of a slain infant in their mysteries. The fame of these three charges is great both among the Greeks and among the Latin defenders of the religion, so much so that there seems to be no region at all where these fabrications did not appear. To these widespread slanders, some others were sometimes added. For, to omit magic, by whose name Celsus</w:t>
      </w:r>
      <w:r>
        <w:fldChar w:fldCharType="begin"/>
      </w:r>
      <w:r>
        <w:instrText xml:space="preserve"> XE "Celsus" \f "Persons"</w:instrText>
      </w:r>
      <w:r>
        <w:fldChar w:fldCharType="end"/>
      </w:r>
      <w:r>
        <w:t xml:space="preserve"> accuses Christians in Origen</w:t>
      </w:r>
      <w:r>
        <w:fldChar w:fldCharType="begin"/>
      </w:r>
      <w:r>
        <w:instrText xml:space="preserve"> XE "Origen" \f "Persons"</w:instrText>
      </w:r>
      <w:r>
        <w:fldChar w:fldCharType="end"/>
      </w:r>
      <w:r>
        <w:t>, book 6, p. 301, they were said to worship the cross or even the head of a donkey as God, at least in Africa, as we learn from Tertullian</w:t>
      </w:r>
      <w:r>
        <w:fldChar w:fldCharType="begin"/>
      </w:r>
      <w:r>
        <w:instrText xml:space="preserve"> XE "Tertullian" \f "Persons"</w:instrText>
      </w:r>
      <w:r>
        <w:fldChar w:fldCharType="end"/>
      </w:r>
      <w:r>
        <w:t xml:space="preserve">’s </w:t>
      </w:r>
      <w:r>
        <w:rPr>
          <w:i/>
        </w:rPr>
        <w:t>Apology</w:t>
      </w:r>
      <w:r>
        <w:t xml:space="preserve">, chapter 7, and book 1 </w:t>
      </w:r>
      <w:r>
        <w:rPr>
          <w:i/>
        </w:rPr>
        <w:t>to Nat.</w:t>
      </w:r>
      <w:r>
        <w:t>, and from Minucius</w:t>
      </w:r>
      <w:r>
        <w:fldChar w:fldCharType="begin"/>
      </w:r>
      <w:r>
        <w:instrText xml:space="preserve"> XE "Minucius" \f "Persons"</w:instrText>
      </w:r>
      <w:r>
        <w:fldChar w:fldCharType="end"/>
      </w:r>
      <w:r>
        <w:t xml:space="preserve"> Felix</w:t>
      </w:r>
      <w:r>
        <w:fldChar w:fldCharType="begin"/>
      </w:r>
      <w:r>
        <w:instrText xml:space="preserve"> XE "Felix" \f "Persons"</w:instrText>
      </w:r>
      <w:r>
        <w:fldChar w:fldCharType="end"/>
      </w:r>
      <w:r>
        <w:t xml:space="preserve">. These words of Tertullian would indicate a new kind of slander, if they were sound and intact: “Therefore,” he says in book 1 </w:t>
      </w:r>
      <w:r>
        <w:rPr>
          <w:i/>
        </w:rPr>
        <w:t>to Nat.</w:t>
      </w:r>
      <w:r>
        <w:t xml:space="preserve">, chapter 7, “in our age not yet, year 250, so many wicked ones meanwhile, so many crosses have attained divinity, etc.” But in these words, </w:t>
      </w:r>
      <w:r>
        <w:rPr>
          <w:i/>
        </w:rPr>
        <w:t>so many wicked ones</w:t>
      </w:r>
      <w:r>
        <w:t xml:space="preserve">, there is a fault and corruption, and no trace of this accusation exists. Therefore, it must be read: </w:t>
      </w:r>
      <w:r>
        <w:rPr>
          <w:i/>
        </w:rPr>
        <w:t>So many onagers meanwhile, so many crosses have attained divinity</w:t>
      </w:r>
      <w:r>
        <w:t>, etc, and this is made clear from chapter 11 of the same book, where a comment on the divinity attributed to crosses precedes the accusation of the donkey God, which Tertullian indeed thinks arose from Cornelius</w:t>
      </w:r>
      <w:r>
        <w:fldChar w:fldCharType="begin"/>
      </w:r>
      <w:r>
        <w:instrText xml:space="preserve"> XE "Cornelius" \f "Persons"</w:instrText>
      </w:r>
      <w:r>
        <w:fldChar w:fldCharType="end"/>
      </w:r>
      <w:r>
        <w:t xml:space="preserve"> Tacitus</w:t>
      </w:r>
      <w:r>
        <w:fldChar w:fldCharType="begin"/>
      </w:r>
      <w:r>
        <w:instrText xml:space="preserve"> XE "Tacitus" \f "Persons"</w:instrText>
      </w:r>
      <w:r>
        <w:fldChar w:fldCharType="end"/>
      </w:r>
      <w:r>
        <w:t>. “This suspicion,” he says, “was made by Cornelius Tacitus. For he reports that the Jews, in an expedition suffering from a lack of water in vast places, used onagers, which were thought to seek water from pasture, as guides, and escaped by using springs; thus, on account of this favor, the surface similar to a beast is worshiped by the Jews. From this I judge that the presumption was made against us also, that those close to the Jewish religion were initiated together into the same image.”</w:t>
      </w:r>
    </w:p>
    <w:p w14:paraId="145F82A5" w14:textId="77777777" w:rsidR="005C2B3E" w:rsidRDefault="00000000">
      <w:pPr>
        <w:ind w:firstLine="360"/>
      </w:pPr>
      <w:r>
        <w:t xml:space="preserve">II. From two passages of the </w:t>
      </w:r>
      <w:r>
        <w:rPr>
          <w:i/>
        </w:rPr>
        <w:t>Dialogue with Trypho</w:t>
      </w:r>
      <w:r>
        <w:t>, we clearly see who the authors of the most terrible fable were, and at what time they committed such wickedness. Thus the holy martyr addresses the Jews, number 17: Οὐχ οὕτως γὰρ τὰ ἄλλα ἔθνη εἰς ταύτην τὴν ἀδικίαν τὴν εἰς ἡμᾶς καὶ τὸν Χριστὸν ἐνέχονται, ὅσον ὑμεῖς, οἳ κἀκείνοις τῆς κατὰ τοῦ δικαίου καὶ ἡμῶν τῶν ἀπʼ ἐκείνου κακῆς προλήψεως αἵτιοι ὑπάρχετε. Μετὰ γὰρ τὸ σταυρῶσαι ὑμᾶς ἐκεῖνον τὸν μόνον ἄμωμον καὶ δίκαιον ἄνθρωπον, διʼ οὗ τῶν μωλώπων ἵασις γίνεται τοῖς διʼ αὐτοῦ ἐπὶ τὸν Πατέρα προσχωροῦσιν, ἐπειδὴ ἐγνώκατε αὐτὸν ἀναστάντα ἐκ νεκρῶν, καὶ ἀναβάντα εἰς τὸν οὐρανὸν, ὡς αἱ προφητεῖαι προεμήνυον γενησόμενον, οὐ μόνον οὐ μετενοήσατε ἐφʼ οἷς ἐπράξατε κακῶς, ἀλλὰ ἄνδρας ἐκλεκτοὺς ἀπὸ Ἱερουσαλὴμ ἐκλεξάμενοι τότε ἐξεπέμψατε εἰς πᾶσαν τὴν γῆν, λέγοντες, αἵρεσιν ἄθεον Χριστιανῶν πεφηνέναι, καταλέγοντές τε ταῦτα ἅπερ καθʼ ἡμῶν οἱ ἀγνοοῦντες ἡμᾶς πάντες λέγουσιν. Ὥστε οὐ μόνον ἑαυτοῖς ἀδικίας αἵτιοι ὑπάρχετε, ἀλλὰ καὶ τοῖς ἄλλοις ἅπασιν ἀπλῶς ἀνθρώποις.… Κατὰ οὗν τοῦ μόνου ἀμώμου καὶ δικαίου φωτὸς τοῖς ἀνθρώποις πεμφθέντος παρὰ τοῦ Θεοῦ, τὰ πικρὰ καὶ σκοτεινὰ καὶ ἄδικα καταλεχθῆναι ἐν πάσῃ τῇ γῇ ἐσπουδάσατε.</w:t>
      </w:r>
    </w:p>
    <w:p w14:paraId="2F23C025" w14:textId="77777777" w:rsidR="005C2B3E" w:rsidRDefault="00000000">
      <w:pPr>
        <w:ind w:firstLine="360"/>
      </w:pPr>
      <w:r>
        <w:lastRenderedPageBreak/>
        <w:t>“For not so much in other nations does the injustice done to us and to Christ rest, as in you, who are the cause of that evil opinion beforehand against the just one and against us who come from him. For after you crucified that only blameless and just man, through whom wounds are healed for those who approach the Father through him, since you knew that he had risen from the dead and ascended into heaven, as the prophecies foretold would happen, not only did you not repent of the wrongs you committed, but having chosen men from Jerusalem, you sent them out to the whole earth, saying that the Christian sect had appeared godless, and recounting those things which all who do not know us say against us. So you are not only guilty of injustice to yourselves, but also simply to all other people.… Therefore, against the only blameless and just light sent to men by God, you have labored to have bitter, dark, and unjust crimes reported throughout the whole earth.”</w:t>
      </w:r>
    </w:p>
    <w:p w14:paraId="098F1ADE" w14:textId="77777777" w:rsidR="005C2B3E" w:rsidRDefault="00000000">
      <w:pPr>
        <w:ind w:firstLine="360"/>
      </w:pPr>
      <w:r>
        <w:t>The same holy martyr repeated this the next day for the sake of those who were not present the day before: Καὶ οὐ μόνον οὐ μετενοήσατε … ἀλλʼ ὡς προεῖπον, ἄνδρας χειροτονήσαντες ἐκλεκτοὺς, εἰς πᾶσαν τὴν οἰκουμένην ἐπέμψατε, κηρύσσοντας ὅτι αἵρεσίς τις ἄθεος καὶ ἄνομος ἐγήγερται ἀπὸ Ἰησοῦ τινος Γαλιλαίου πλάνου· ὃν σταυρωσάντων ἡμῶν, οἱ μαθηταὶ αὐτοῦ κλέψαντες αὐτὸν ἀπὸ τοῦ μνήματος νυκτὸς, ὁπόθεν κατετέθη ἀφηλωθεὶς ἀπὸ τοῦ σταυροῦ, πλανῶσι τοὺς ἀνθρώπους λέγοντες ἐγηγέρθαι αὐτὸν ἐκ νεκρῶν, καὶ εἰς οὐρανὸν ἀνεληλυθέναι· κατειπόντες δεδιδαχέναι καὶ ταῦτα ἅπερ κατὰ τῶν ὁμολογούντων Χριστὸν καὶ διδάσκαλον καὶ Υἱὸν Θεοῦ εἷναι, παντὶ γένει ἀνθρώπων ἄθεα καὶ ἅνομα καὶ ἀνόσια λέγετε. Πρὸς τούτοις, καὶ ἁλούσης ὑμῶν τῆς πόλεως, καὶ τῆς γῆς ἐρημωθείσης, οὐ μετανοεῖτε, ἀλλὰ καὶ καταρᾶσθαι αὐτοῦ καὶ τῶν πιστευόντων εἰς αὐτὸν πάντων τολμᾶτε. Καὶ ἡμεῖς ὑμᾶς καὶ τοὺς διʼ ὑμῶν τοιαῦτα καθʼ ἡμῶν ὑπειληφότας οὐ μισοῦμεν, ἀλλʼ εὐχόμεθα κἂν νῦν μετανοήσαντας πάντας ἐλέους τυχεῖν παρὰ τοῦ εὐσπλάγχνου καὶ πολυελέου Πατρὸς τῶν ὅλων Θεοῦ.</w:t>
      </w:r>
    </w:p>
    <w:p w14:paraId="52067ECE" w14:textId="77777777" w:rsidR="005C2B3E" w:rsidRDefault="00000000">
      <w:pPr>
        <w:ind w:firstLine="360"/>
      </w:pPr>
      <w:r>
        <w:t>“Not only did you not repent,” he says, number 108, “but you also appointed chosen men and sent them throughout the whole world, preaching that a certain godless and lawless sect had arisen from a certain Jesus of Galilee, a deceiver; whom, after we crucified him, his disciples stole from the tomb at night, where he had been laid after being taken down from the cross, and they deceive people by saying that he rose from the dead and ascended into heaven; and you say these things, which are taught against those who confess Christ as teacher and Son of God, to all kinds of people as godless, unlawful, and impious. Moreover, even though your city was taken and your land laid waste, you do not repent, but you even dare to curse him and all who believe in him. But we do not hate you, nor those who have received such an opinion of us from you; rather, we pray that now, at least, all who repent may receive mercy from the most merciful and greatly compassionate Father of all God.”</w:t>
      </w:r>
    </w:p>
    <w:p w14:paraId="5E3B7B9A" w14:textId="77777777" w:rsidR="005C2B3E" w:rsidRDefault="00000000">
      <w:pPr>
        <w:ind w:firstLine="360"/>
      </w:pPr>
      <w:r>
        <w:lastRenderedPageBreak/>
        <w:t>In these two testimonies, we have the developed origin of the foolish and impious fable. In both places, the Christian sect is called ἄθεος; in both, the banquets of Thyestes and the incest of Oedipus designate those bitter and dark, impious and wicked crimes which the Jews pretended Christ himself taught. In one word, Justin attributes to the wickedness of the Jews whatever those who did not know this religion said about Christians.</w:t>
      </w:r>
    </w:p>
    <w:p w14:paraId="2B01A9D3" w14:textId="77777777" w:rsidR="005C2B3E" w:rsidRDefault="00000000">
      <w:pPr>
        <w:ind w:firstLine="360"/>
      </w:pPr>
      <w:r>
        <w:t>The testimonies of the holy martyr are confirmed by Tertullian</w:t>
      </w:r>
      <w:r>
        <w:fldChar w:fldCharType="begin"/>
      </w:r>
      <w:r>
        <w:instrText xml:space="preserve"> XE "Tertullian" \f "Persons"</w:instrText>
      </w:r>
      <w:r>
        <w:fldChar w:fldCharType="end"/>
      </w:r>
      <w:r>
        <w:t xml:space="preserve">. Thus he speaks of the Jew by whom the God of the Christians was publicly presented </w:t>
      </w:r>
      <w:r>
        <w:rPr>
          <w:i/>
        </w:rPr>
        <w:t>with the ears of dogs, and in a toga, with a book, depicted with one hoofed foot</w:t>
      </w:r>
      <w:r>
        <w:t xml:space="preserve">. “The crowd believed the Jew,” he says in book 1 </w:t>
      </w:r>
      <w:r>
        <w:rPr>
          <w:i/>
        </w:rPr>
        <w:t>to Nut.</w:t>
      </w:r>
      <w:r>
        <w:t xml:space="preserve">, chapter 14: “For what other kind of seed is there for our disgrace?” The same author teaches in book 3 </w:t>
      </w:r>
      <w:r>
        <w:rPr>
          <w:i/>
        </w:rPr>
        <w:t>against Marcion</w:t>
      </w:r>
      <w:r>
        <w:t xml:space="preserve">, chapter 23: “Then, when the name of the Lord was blasphemed by them out of the persistence of madness, as it is written: </w:t>
      </w:r>
      <w:r>
        <w:rPr>
          <w:i/>
        </w:rPr>
        <w:t>Because of you my name is blasphemed among the nations</w:t>
      </w:r>
      <w:r>
        <w:t xml:space="preserve"> (for the disgrace began from them), and the middle time from Tiberius to Vespasian, they did not understand repentance, their land became desolate.”</w:t>
      </w:r>
    </w:p>
    <w:p w14:paraId="79DCC62F" w14:textId="77777777" w:rsidR="005C2B3E" w:rsidRDefault="00000000">
      <w:pPr>
        <w:ind w:firstLine="360"/>
      </w:pPr>
      <w:r>
        <w:t>Origen</w:t>
      </w:r>
      <w:r>
        <w:fldChar w:fldCharType="begin"/>
      </w:r>
      <w:r>
        <w:instrText xml:space="preserve"> XE "Origen" \f "Persons"</w:instrText>
      </w:r>
      <w:r>
        <w:fldChar w:fldCharType="end"/>
      </w:r>
      <w:r>
        <w:t xml:space="preserve"> also says in book 6 </w:t>
      </w:r>
      <w:r>
        <w:rPr>
          <w:i/>
        </w:rPr>
        <w:t>against Celsus</w:t>
      </w:r>
      <w:r>
        <w:fldChar w:fldCharType="begin"/>
      </w:r>
      <w:r>
        <w:instrText xml:space="preserve"> XE "Celsus" \f "Persons"</w:instrText>
      </w:r>
      <w:r>
        <w:fldChar w:fldCharType="end"/>
      </w:r>
      <w:r>
        <w:t>, number 27: Καὶ δοκεῖ μοι παραπλήσιον Ἰουδαίοις πεποιηκέναι τοῖς κατὰ τὴν ἀρχὴν τῆς τοῦ Χριστιανισμοῦ διδασκαλίας κατασκεδάσασι δυσφημίαν τοῦ λόγου· ὡς ἄρα καταθύσαντες παιδίον μεταλαμβάνουσιν αὐτοῦ τῶν σαρκῶν· καὶ πάλιν ὅτι οἱ ἀπὸ τοῦ λόγου τὰ τοῦ σκότους πράττειν βουλόμενοι σβεννύουσι μὲν τὸ φῶς, ἕκαστος δὲ τῇ παρατυχούσῃ μίγνυται. Ἥτις δυσφημία παραλόγως πάλαι μὲν πλείστων ὅσων ἐκράτει πείθουσα τοὺς ἀλλοτρίους τοῦ λόγου, ὅτι τοιοῦτοί εἱσι Χριστιανοί· καὶ νῦν δὲ ἔτι ἀπατᾷ τινας, ἀποτρεπομένους διὰ τὰ τοιαῦτα κἂν εἰς κοινωνίαν ἁπλουστέραν λόγων ἥκειν πρὸς Χριστιανούς.</w:t>
      </w:r>
    </w:p>
    <w:p w14:paraId="25AC04AB" w14:textId="77777777" w:rsidR="005C2B3E" w:rsidRDefault="00000000">
      <w:pPr>
        <w:ind w:firstLine="360"/>
      </w:pPr>
      <w:r>
        <w:t>“It seems to me that Celsus</w:t>
      </w:r>
      <w:r>
        <w:fldChar w:fldCharType="begin"/>
      </w:r>
      <w:r>
        <w:instrText xml:space="preserve"> XE "Celsus" \f "Persons"</w:instrText>
      </w:r>
      <w:r>
        <w:fldChar w:fldCharType="end"/>
      </w:r>
      <w:r>
        <w:t xml:space="preserve"> did the same as the Jews, who at the beginning of the preaching of Christianity spread bad rumors about the doctrine of Christians, as if they partook of the flesh of a sacrificed child; and again, that those who want to do the works of darkness from the word extinguish the light, but each one mixes with whoever he meets. This absurd slander once held many, persuading outsiders that Christians were such; and even now it still deceives some, deterring them by such stories from even entering into simpler conversation with Christians.”</w:t>
      </w:r>
    </w:p>
    <w:p w14:paraId="533BD6E2" w14:textId="77777777" w:rsidR="005C2B3E" w:rsidRDefault="00000000">
      <w:pPr>
        <w:ind w:firstLine="360"/>
      </w:pPr>
      <w:r>
        <w:t>But the main weight of Justin</w:t>
      </w:r>
      <w:r>
        <w:fldChar w:fldCharType="begin"/>
      </w:r>
      <w:r>
        <w:instrText xml:space="preserve"> XE "Justin" \f "Persons"</w:instrText>
      </w:r>
      <w:r>
        <w:fldChar w:fldCharType="end"/>
      </w:r>
      <w:r>
        <w:t>’s opinion is added by Eusebius</w:t>
      </w:r>
      <w:r>
        <w:fldChar w:fldCharType="begin"/>
      </w:r>
      <w:r>
        <w:instrText xml:space="preserve"> XE "Eusebius" \f "Persons"</w:instrText>
      </w:r>
      <w:r>
        <w:fldChar w:fldCharType="end"/>
      </w:r>
      <w:r>
        <w:t xml:space="preserve">, who not only reports Justin’s words taken from the </w:t>
      </w:r>
      <w:r>
        <w:rPr>
          <w:i/>
        </w:rPr>
        <w:t>Dialogue</w:t>
      </w:r>
      <w:r>
        <w:t xml:space="preserve"> in </w:t>
      </w:r>
      <w:r>
        <w:rPr>
          <w:i/>
        </w:rPr>
        <w:t>Hist.</w:t>
      </w:r>
      <w:r>
        <w:t xml:space="preserve"> book 4, chapter 18, but also explains that passage of Isaiah</w:t>
      </w:r>
      <w:r>
        <w:fldChar w:fldCharType="begin"/>
      </w:r>
      <w:r>
        <w:instrText xml:space="preserve"> XE "Isaiah" \f "Persons"</w:instrText>
      </w:r>
      <w:r>
        <w:fldChar w:fldCharType="end"/>
      </w:r>
      <w:r>
        <w:t xml:space="preserve">: </w:t>
      </w:r>
      <w:r>
        <w:rPr>
          <w:i/>
        </w:rPr>
        <w:t>He who sends hostages and scrolls upon the water</w:t>
      </w:r>
      <w:r>
        <w:t>, thus he speaks:</w:t>
      </w:r>
    </w:p>
    <w:p w14:paraId="39AF6FDF" w14:textId="77777777" w:rsidR="005C2B3E" w:rsidRDefault="00000000">
      <w:pPr>
        <w:ind w:firstLine="360"/>
      </w:pPr>
      <w:r>
        <w:t xml:space="preserve">“We find in the writings of the ancients that the priests and elders living in Jerusalem of the Jewish nation, having written letters, sent them out to all the nations to all the Jews everywhere, slandering the teaching of Christ as a new and alien sect of </w:t>
      </w:r>
      <w:r>
        <w:lastRenderedPageBreak/>
        <w:t>God, and commanding by letters not to accept it… And their apostles, carrying these letter-scrolls, sailing over the waters and filling the sea, traveled everywhere on earth, spreading the slander about our Savior. And even now it is the custom of the Jews to call apostles those who carry circular letters from their rulers everywhere.”</w:t>
      </w:r>
    </w:p>
    <w:p w14:paraId="1A639AB3" w14:textId="77777777" w:rsidR="005C2B3E" w:rsidRDefault="00000000">
      <w:pPr>
        <w:ind w:firstLine="360"/>
      </w:pPr>
      <w:r>
        <w:t>“In the writings of the ancients, we find that the priests and elders of the Jewish nation living in Jerusalem sent letters to all nations to all Jews everywhere, which slandered the doctrine of Christ as a new and hostile sect against God, and warned by letters not to receive it… Their apostles, carrying these letter-scrolls and sailing over the backs of the waters and on the sea, traveled everywhere on earth, stirring up slander about our Savior. Indeed, even now the Jews are accustomed to call ‘apostles’ those who carry circular letters from their rulers everywhere.”</w:t>
      </w:r>
    </w:p>
    <w:p w14:paraId="7A3292F3" w14:textId="77777777" w:rsidR="005C2B3E" w:rsidRDefault="00000000">
      <w:pPr>
        <w:ind w:firstLine="360"/>
      </w:pPr>
      <w:r>
        <w:t>III. The testimony of Eusebius</w:t>
      </w:r>
      <w:r>
        <w:fldChar w:fldCharType="begin"/>
      </w:r>
      <w:r>
        <w:instrText xml:space="preserve"> XE "Eusebius" \f "Persons"</w:instrText>
      </w:r>
      <w:r>
        <w:fldChar w:fldCharType="end"/>
      </w:r>
      <w:r>
        <w:t xml:space="preserve"> is of even greater weight because he seems to have read the same history not only in Justin</w:t>
      </w:r>
      <w:r>
        <w:fldChar w:fldCharType="begin"/>
      </w:r>
      <w:r>
        <w:instrText xml:space="preserve"> XE "Justin" \f "Persons"</w:instrText>
      </w:r>
      <w:r>
        <w:fldChar w:fldCharType="end"/>
      </w:r>
      <w:r>
        <w:t xml:space="preserve"> but also in other writers, from whom he received what is not mentioned by Justin—that the Jews gave letters to those they sent throughout the whole world. But although the authority of this history is great, since there are both ancient and recent writers who want to claim that this triple accusation did not arise from the beginnings of the religion but was born under Hadrian, and from the corrupt habits of heretics who appeared under this emperor, the matter must be examined a little more carefully.</w:t>
      </w:r>
    </w:p>
    <w:p w14:paraId="013C70E3" w14:textId="77777777" w:rsidR="005C2B3E" w:rsidRDefault="00000000">
      <w:pPr>
        <w:ind w:firstLine="360"/>
      </w:pPr>
      <w:r>
        <w:t>With these words Eusebius</w:t>
      </w:r>
      <w:r>
        <w:fldChar w:fldCharType="begin"/>
      </w:r>
      <w:r>
        <w:instrText xml:space="preserve"> XE "Eusebius" \f "Persons"</w:instrText>
      </w:r>
      <w:r>
        <w:fldChar w:fldCharType="end"/>
      </w:r>
      <w:r>
        <w:t xml:space="preserve"> declares in book 4, chapter 7, that the wicked heretics Basilides, Saturninus, Carpocrates, and others of this kind </w:t>
      </w:r>
      <w:r>
        <w:rPr>
          <w:i/>
        </w:rPr>
        <w:t>supplied ample material for disparaging and slandering the Gospel, and from this it happened that certain absurd and impious opinions about us were spread among the unbelievers at that time, as if we were accustomed to mix in wicked intercourse with sisters and mothers, and to feed on accursed feasts.</w:t>
      </w:r>
      <w:r>
        <w:t xml:space="preserve"> The same is testified by Irenaeus</w:t>
      </w:r>
      <w:r>
        <w:fldChar w:fldCharType="begin"/>
      </w:r>
      <w:r>
        <w:instrText xml:space="preserve"> XE "Irenaeus" \f "Persons"</w:instrText>
      </w:r>
      <w:r>
        <w:fldChar w:fldCharType="end"/>
      </w:r>
      <w:r>
        <w:t>, book 1, chapter 25; Clement of Alexandria</w:t>
      </w:r>
      <w:r>
        <w:fldChar w:fldCharType="begin"/>
      </w:r>
      <w:r>
        <w:instrText xml:space="preserve"> XE "Clement of Alexandria" \f "Persons"</w:instrText>
      </w:r>
      <w:r>
        <w:fldChar w:fldCharType="end"/>
      </w:r>
      <w:r>
        <w:t xml:space="preserve">, </w:t>
      </w:r>
      <w:r>
        <w:rPr>
          <w:i/>
        </w:rPr>
        <w:t>Stromata</w:t>
      </w:r>
      <w:r>
        <w:t>, iv, page 428; Origen</w:t>
      </w:r>
      <w:r>
        <w:fldChar w:fldCharType="begin"/>
      </w:r>
      <w:r>
        <w:instrText xml:space="preserve"> XE "Origen" \f "Persons"</w:instrText>
      </w:r>
      <w:r>
        <w:fldChar w:fldCharType="end"/>
      </w:r>
      <w:r>
        <w:t>, volume III on the Epistles of Paul; Epiphanius in the heresy of the Carpocratians. These things seem at first glance to conflict with Justin</w:t>
      </w:r>
      <w:r>
        <w:fldChar w:fldCharType="begin"/>
      </w:r>
      <w:r>
        <w:instrText xml:space="preserve"> XE "Justin" \f "Persons"</w:instrText>
      </w:r>
      <w:r>
        <w:fldChar w:fldCharType="end"/>
      </w:r>
      <w:r>
        <w:t>, and it is no wonder that Dodwell, agreeing with Tillemont, volume II, page 245, declares that the Christian name was defamed with so great a shame of crimes by the Carpocratians and other such heretics who broke out under Hadrian</w:t>
      </w:r>
      <w:r>
        <w:fldChar w:fldCharType="begin"/>
      </w:r>
      <w:r>
        <w:instrText xml:space="preserve"> XE "Hadrian" \f "Persons"</w:instrText>
      </w:r>
      <w:r>
        <w:fldChar w:fldCharType="end"/>
      </w:r>
      <w:r>
        <w:t>.</w:t>
      </w:r>
    </w:p>
    <w:p w14:paraId="06C36AA4" w14:textId="77777777" w:rsidR="005C2B3E" w:rsidRDefault="00000000">
      <w:pPr>
        <w:ind w:firstLine="360"/>
      </w:pPr>
      <w:r>
        <w:t xml:space="preserve">But the differing opinions of the ancients can be reconciled in appearance so that the origin of the slanders is traced partly to the wickedness of the Jews and partly to the shameful habits of the heretics. Both promoted this very wicked matter: the heretics by living most badly; the Jews by seizing on their crimes as a handle to invent things against the doctrine of Christ and Christians, which indeed they could not be ignorant of, since all living in the most holy discipline of Christ detested them. Indeed, the treachery of the Jews did more harm than the crimes of the heretics. For just as it is difficult to clear some heretics of promiscuous intercourse, so infanticide is hardly </w:t>
      </w:r>
      <w:r>
        <w:lastRenderedPageBreak/>
        <w:t>believable. The charge of atheism was strengthened by the contempt of the gods, which Christians especially showed. Thus the heresies that appeared under Hadrian</w:t>
      </w:r>
      <w:r>
        <w:fldChar w:fldCharType="begin"/>
      </w:r>
      <w:r>
        <w:instrText xml:space="preserve"> XE "Hadrian" \f "Persons"</w:instrText>
      </w:r>
      <w:r>
        <w:fldChar w:fldCharType="end"/>
      </w:r>
      <w:r>
        <w:t xml:space="preserve"> added a new flame to the hatred of Christians, but the Jews took the occasion from older heretics, especially from the disciples of Nicolaus and Menander. The former seem to have given material for the rumor of promiscuous intercourse; the latter, since they were devoted to magic, passed on the hatred of this crime, from which suspicion of infanticide easily followed, to all Christians, as Eusebius</w:t>
      </w:r>
      <w:r>
        <w:fldChar w:fldCharType="begin"/>
      </w:r>
      <w:r>
        <w:instrText xml:space="preserve"> XE "Eusebius" \f "Persons"</w:instrText>
      </w:r>
      <w:r>
        <w:fldChar w:fldCharType="end"/>
      </w:r>
      <w:r>
        <w:t xml:space="preserve"> testifies in </w:t>
      </w:r>
      <w:r>
        <w:rPr>
          <w:i/>
        </w:rPr>
        <w:t>Hist.</w:t>
      </w:r>
      <w:r>
        <w:t>, iii, 26. Therefore, if the origin of the evil is traced to the earliest heretics and its growth to later ones, we will explain how Jews and heretics together contributed to the disgrace of the Christian name.</w:t>
      </w:r>
    </w:p>
    <w:p w14:paraId="11DED592" w14:textId="77777777" w:rsidR="005C2B3E" w:rsidRDefault="00000000">
      <w:pPr>
        <w:ind w:firstLine="360"/>
      </w:pPr>
      <w:r>
        <w:t>IV. The words of Justin</w:t>
      </w:r>
      <w:r>
        <w:fldChar w:fldCharType="begin"/>
      </w:r>
      <w:r>
        <w:instrText xml:space="preserve"> XE "Justin" \f "Persons"</w:instrText>
      </w:r>
      <w:r>
        <w:fldChar w:fldCharType="end"/>
      </w:r>
      <w:r>
        <w:t xml:space="preserve"> require that we say the apostles were sent from the Jews before the city was captured by Titus. For he blames the Jews in two ways: that they sent the apostles to spread slanders, and that after the city was captured, they began to curse Christians with terrible curses. Moreover, since they were sent by the priests of Jerusalem, this shows that the Jews had not yet lost the glory of the priesthood and the city. Eusebius</w:t>
      </w:r>
      <w:r>
        <w:fldChar w:fldCharType="begin"/>
      </w:r>
      <w:r>
        <w:instrText xml:space="preserve"> XE "Eusebius" \f "Persons"</w:instrText>
      </w:r>
      <w:r>
        <w:fldChar w:fldCharType="end"/>
      </w:r>
      <w:r>
        <w:t xml:space="preserve"> attributes the same crime to the priests of Jerusalem. Tertullian</w:t>
      </w:r>
      <w:r>
        <w:fldChar w:fldCharType="begin"/>
      </w:r>
      <w:r>
        <w:instrText xml:space="preserve"> XE "Tertullian" \f "Persons"</w:instrText>
      </w:r>
      <w:r>
        <w:fldChar w:fldCharType="end"/>
      </w:r>
      <w:r>
        <w:t>, just cited, says that the infamy arose from the Jews before Jerusalem was captured.</w:t>
      </w:r>
    </w:p>
    <w:p w14:paraId="2CB405AA" w14:textId="77777777" w:rsidR="005C2B3E" w:rsidRDefault="00000000">
      <w:pPr>
        <w:ind w:firstLine="360"/>
      </w:pPr>
      <w:r>
        <w:t>What the Jews had received from the priests of Jerusalem, they did not cease to spread among all mankind, as Justin testifies; and the minds of the Gentiles had long before been preoccupied by heretics under Hadrian with these false opinions about the Christian religion, as is clear from the testimonies of Pliny</w:t>
      </w:r>
      <w:r>
        <w:fldChar w:fldCharType="begin"/>
      </w:r>
      <w:r>
        <w:instrText xml:space="preserve"> XE "Pliny" \f "Persons"</w:instrText>
      </w:r>
      <w:r>
        <w:fldChar w:fldCharType="end"/>
      </w:r>
      <w:r>
        <w:t xml:space="preserve"> and Cornelius</w:t>
      </w:r>
      <w:r>
        <w:fldChar w:fldCharType="begin"/>
      </w:r>
      <w:r>
        <w:instrText xml:space="preserve"> XE "Cornelius" \f "Persons"</w:instrText>
      </w:r>
      <w:r>
        <w:fldChar w:fldCharType="end"/>
      </w:r>
      <w:r>
        <w:t xml:space="preserve"> Tacitus</w:t>
      </w:r>
      <w:r>
        <w:fldChar w:fldCharType="begin"/>
      </w:r>
      <w:r>
        <w:instrText xml:space="preserve"> XE "Tacitus" \f "Persons"</w:instrText>
      </w:r>
      <w:r>
        <w:fldChar w:fldCharType="end"/>
      </w:r>
      <w:r>
        <w:t xml:space="preserve">. For why does Pliny, in the letter he wrote to Trajan in the year 104, describe so accurately what Christians did in their gatherings; why does he say that their custom was </w:t>
      </w:r>
      <w:r>
        <w:rPr>
          <w:i/>
        </w:rPr>
        <w:t>to be eager to take food, yet promiscuous and harmless,</w:t>
      </w:r>
      <w:r>
        <w:t xml:space="preserve"> unless the agape feasts of Christians were already burning with bad rumors of infanticide? Cornelius Tacitus also thought that Christians were accused of these crimes under Nero. “Therefore, to abolish the rumor,” he says, “Nero subjected the accused to the most severe punishments, those whom the common people called Christians because they were hated for their crimes. A deadly superstition was again breaking out not only through Judea, the origin of this evil, but also through the City, where all terrible or shameful things flow together and are celebrated from every side.” Saint Melito, in the </w:t>
      </w:r>
      <w:r>
        <w:rPr>
          <w:i/>
        </w:rPr>
        <w:t>Apology</w:t>
      </w:r>
      <w:r>
        <w:t xml:space="preserve"> offered to Marcus Aurelius</w:t>
      </w:r>
      <w:r>
        <w:fldChar w:fldCharType="begin"/>
      </w:r>
      <w:r>
        <w:instrText xml:space="preserve"> XE "Aurelius" \f "Persons"</w:instrText>
      </w:r>
      <w:r>
        <w:fldChar w:fldCharType="end"/>
      </w:r>
      <w:r>
        <w:t xml:space="preserve">, observes that Nero and Domitian wished to brand the Christian religion with the marks of crimes and that </w:t>
      </w:r>
      <w:r>
        <w:rPr>
          <w:i/>
        </w:rPr>
        <w:t>it arose from these things that slanders against Christians were spread by habit, alien to reason.</w:t>
      </w:r>
      <w:r>
        <w:t xml:space="preserve"> Ἀφʼ ὧν καὶ τὸ τῆς συκοφαντίας ἀλόγῳ συνηθείᾳ περὶ τοὺς τοιούτους ῥυῆναι συμβέβηκε, apud Euseb, iv, 26.</w:t>
      </w:r>
    </w:p>
    <w:p w14:paraId="114A0EC2" w14:textId="77777777" w:rsidR="005C2B3E" w:rsidRDefault="00000000">
      <w:pPr>
        <w:ind w:firstLine="360"/>
      </w:pPr>
      <w:r>
        <w:t>Therefore, the crime of the Jews must be placed before the siege of Jerusalem; but still not long before, if we admit that the heretics gave material for these crimes. For Hegesippus</w:t>
      </w:r>
      <w:r>
        <w:fldChar w:fldCharType="begin"/>
      </w:r>
      <w:r>
        <w:instrText xml:space="preserve"> XE "Hegesippus" \f "Persons"</w:instrText>
      </w:r>
      <w:r>
        <w:fldChar w:fldCharType="end"/>
      </w:r>
      <w:r>
        <w:t xml:space="preserve"> testifies, according to Eusebius</w:t>
      </w:r>
      <w:r>
        <w:fldChar w:fldCharType="begin"/>
      </w:r>
      <w:r>
        <w:instrText xml:space="preserve"> XE "Eusebius" \f "Persons"</w:instrText>
      </w:r>
      <w:r>
        <w:fldChar w:fldCharType="end"/>
      </w:r>
      <w:r>
        <w:t xml:space="preserve">, </w:t>
      </w:r>
      <w:r>
        <w:rPr>
          <w:i/>
        </w:rPr>
        <w:t>Hist.</w:t>
      </w:r>
      <w:r>
        <w:t xml:space="preserve">, iv, 22, that those wicked heresies, </w:t>
      </w:r>
      <w:r>
        <w:lastRenderedPageBreak/>
        <w:t>from which others were later propagated, began to arise in Jerusalem when Saint Simeon was chosen bishop of Jerusalem. What Justin</w:t>
      </w:r>
      <w:r>
        <w:fldChar w:fldCharType="begin"/>
      </w:r>
      <w:r>
        <w:instrText xml:space="preserve"> XE "Justin" \f "Persons"</w:instrText>
      </w:r>
      <w:r>
        <w:fldChar w:fldCharType="end"/>
      </w:r>
      <w:r>
        <w:t xml:space="preserve"> says about envoys being sent by the Jews should not be taken strictly as having happened after they learned that Jesus had risen from the dead and ascended into heaven. For he says in </w:t>
      </w:r>
      <w:r>
        <w:rPr>
          <w:i/>
        </w:rPr>
        <w:t>Apology</w:t>
      </w:r>
      <w:r>
        <w:t xml:space="preserve"> 1, number 29, that </w:t>
      </w:r>
      <w:r>
        <w:rPr>
          <w:i/>
        </w:rPr>
        <w:t>after Christ’s ascension into heaven,</w:t>
      </w:r>
      <w:r>
        <w:t xml:space="preserve"> Simon, Menander, and Marcion were sent by demons.</w:t>
      </w:r>
    </w:p>
    <w:p w14:paraId="6124E8F3" w14:textId="77777777" w:rsidR="005C2B3E" w:rsidRDefault="00000000">
      <w:pPr>
        <w:ind w:firstLine="360"/>
      </w:pPr>
      <w:r>
        <w:t xml:space="preserve">V. These stories have always seemed unbelievable to all sensible people: Trypho the Jew admits that they are far from the truth in </w:t>
      </w:r>
      <w:r>
        <w:rPr>
          <w:i/>
        </w:rPr>
        <w:t>Dialogue</w:t>
      </w:r>
      <w:r>
        <w:t>, number 10. “Most people temper their belief in such things,” says Tertullian</w:t>
      </w:r>
      <w:r>
        <w:fldChar w:fldCharType="begin"/>
      </w:r>
      <w:r>
        <w:instrText xml:space="preserve"> XE "Tertullian" \f "Persons"</w:instrText>
      </w:r>
      <w:r>
        <w:fldChar w:fldCharType="end"/>
      </w:r>
      <w:r>
        <w:t xml:space="preserve"> in </w:t>
      </w:r>
      <w:r>
        <w:rPr>
          <w:i/>
        </w:rPr>
        <w:t>To the Nations</w:t>
      </w:r>
      <w:r>
        <w:t>, chapter 2. Yet they had boldness, if not faith; and even after being refuted a hundred times, they did not stop accusing. In Origen</w:t>
      </w:r>
      <w:r>
        <w:fldChar w:fldCharType="begin"/>
      </w:r>
      <w:r>
        <w:instrText xml:space="preserve"> XE "Origen" \f "Persons"</w:instrText>
      </w:r>
      <w:r>
        <w:fldChar w:fldCharType="end"/>
      </w:r>
      <w:r>
        <w:t>’s time, as is clear from the testimony cited above, not many as before, but still some, were deceived; and they do not seem to have been completely buried in forgetfulness and silence, if we believe Lactantius, until after Constantine held the reins of the empire. For he says in book 7, chapter 26: “But those men blame our silence as if it were a guilty conscience; hence they invent some wicked opinions about the chaste and innocent, and gladly believe what they have invented. But all these fabrications have now been put to rest, most holy emperor, since the highest God has raised you up to restore the home of justice and the protection of the human race.” Eusebius</w:t>
      </w:r>
      <w:r>
        <w:fldChar w:fldCharType="begin"/>
      </w:r>
      <w:r>
        <w:instrText xml:space="preserve"> XE "Eusebius" \f "Persons"</w:instrText>
      </w:r>
      <w:r>
        <w:fldChar w:fldCharType="end"/>
      </w:r>
      <w:r>
        <w:t xml:space="preserve"> seems to think that these slanders were written before Constantine, and this is gathered from what is read in book 4, chapter 7: “That slander which was inflicted on our whole religion has been extinguished by the passage of time. so that since then no one has dared to cast any stain of infamy on our faith up to our times (ὡς μηδένα τῶν εἰς νῦν αἰσχρὰν ἐπιφέρειν τολμᾷν κατὰ τῆς πίστεως ἡμῶν δυσφημίαν) or to bring any such slander as those old enemies of our religion used to throw.”</w:t>
      </w:r>
    </w:p>
    <w:p w14:paraId="6009AADF" w14:textId="77777777" w:rsidR="005C2B3E" w:rsidRDefault="00000000">
      <w:pPr>
        <w:pStyle w:val="Heading3"/>
      </w:pPr>
      <w:r>
        <w:t>CHAPTER 5</w:t>
      </w:r>
    </w:p>
    <w:p w14:paraId="6DED2771" w14:textId="77777777" w:rsidR="005C2B3E" w:rsidRDefault="00000000">
      <w:pPr>
        <w:pStyle w:val="Heading4"/>
      </w:pPr>
      <w:r>
        <w:t>HOW AND WITH WHAT SUCCESS THE FIRST APOLOGY WAS OFFERED, AND AT WHAT TIME ESPECIALLY</w:t>
      </w:r>
    </w:p>
    <w:p w14:paraId="3E0F129C" w14:textId="77777777" w:rsidR="005C2B3E" w:rsidRDefault="00000000">
      <w:pPr>
        <w:spacing w:before="180" w:after="0"/>
        <w:ind w:left="720" w:right="320" w:hanging="360"/>
      </w:pPr>
      <w:r>
        <w:t>Justinus</w:t>
      </w:r>
      <w:r>
        <w:fldChar w:fldCharType="begin"/>
      </w:r>
      <w:r>
        <w:instrText xml:space="preserve"> XE "Justinus" \f "Persons"</w:instrText>
      </w:r>
      <w:r>
        <w:fldChar w:fldCharType="end"/>
      </w:r>
      <w:r>
        <w:t xml:space="preserve"> demands that the Apology be deposited with the Acts. II. The emperor's edict agrees with this Apology. III. Antoninus</w:t>
      </w:r>
      <w:r>
        <w:fldChar w:fldCharType="begin"/>
      </w:r>
      <w:r>
        <w:instrText xml:space="preserve"> XE "Antoninus" \f "Persons"</w:instrText>
      </w:r>
      <w:r>
        <w:fldChar w:fldCharType="end"/>
      </w:r>
      <w:r>
        <w:t xml:space="preserve"> is vindicated for this decree. IV. It seems to have been written around the year 150. V. Concerning the letter of Marcus Aurelius.</w:t>
      </w:r>
    </w:p>
    <w:p w14:paraId="6349CE8D" w14:textId="77777777" w:rsidR="005C2B3E" w:rsidRDefault="00000000">
      <w:r>
        <w:t>I. The longer Apology of Justin</w:t>
      </w:r>
      <w:r>
        <w:fldChar w:fldCharType="begin"/>
      </w:r>
      <w:r>
        <w:instrText xml:space="preserve"> XE "Justin" \f "Persons"</w:instrText>
      </w:r>
      <w:r>
        <w:fldChar w:fldCharType="end"/>
      </w:r>
      <w:r>
        <w:t xml:space="preserve">, which is found after a shorter one in all editions except the London one, is by general agreement recognized as the first. Justin, as he himself testifies in the Dialogue, no. 120, offered this to the Acts and asked that it be entered into the public records. For he says that he approached Caesar ἐγγράφως (in writing). </w:t>
      </w:r>
      <w:r>
        <w:lastRenderedPageBreak/>
        <w:t>I have observed the force and meaning of the word ἐγγράφως; but moreover, the author himself was the one who interpreted it this way, showing a sign of a fearless spirit; for he dared to accuse the Samaritans of the greatest impiety in a written document offered to the Acts and publicly preserved, not fearing their anger. In the Apology itself, no. 26, he asks the emperor to admit the senate and the Roman people as judges of the petitioner of this little book. In the second Apology, as we will see below, he cites the first as known and publicly preserved; which indeed is proof that Antoninus</w:t>
      </w:r>
      <w:r>
        <w:fldChar w:fldCharType="begin"/>
      </w:r>
      <w:r>
        <w:instrText xml:space="preserve"> XE "Antoninus" \f "Persons"</w:instrText>
      </w:r>
      <w:r>
        <w:fldChar w:fldCharType="end"/>
      </w:r>
      <w:r>
        <w:t xml:space="preserve"> brought no delay to the just request.</w:t>
      </w:r>
    </w:p>
    <w:p w14:paraId="2185D5EF" w14:textId="77777777" w:rsidR="005C2B3E" w:rsidRDefault="00000000">
      <w:pPr>
        <w:ind w:firstLine="360"/>
      </w:pPr>
      <w:r>
        <w:t xml:space="preserve">What is read in this Apology reveals no less the steadfastness of Justin and the fervent courage of his spirit than the very manner of offering it. He does not hesitate to warn the emperor and his sons that from the judgment passed on Christians after reading this Apology, it will be judged whether they are truly </w:t>
      </w:r>
      <w:r>
        <w:rPr>
          <w:i/>
        </w:rPr>
        <w:t>pious and philosophers and guardians of justice and lovers of doctrine</w:t>
      </w:r>
      <w:r>
        <w:t>. Although he was not unaware of how excessive Antoninus</w:t>
      </w:r>
      <w:r>
        <w:fldChar w:fldCharType="begin"/>
      </w:r>
      <w:r>
        <w:instrText xml:space="preserve"> XE "Antoninus" \f "Persons"</w:instrText>
      </w:r>
      <w:r>
        <w:fldChar w:fldCharType="end"/>
      </w:r>
      <w:r>
        <w:t xml:space="preserve"> had been in his expressions of gratitude toward Hadrian, he nevertheless objects to the pagans that Antoninus had imposed eternal disgrace on the name of Hadrian by consecrating Antinous among the gods. But Antoninus was not the kind of man to be offended by such freedom. Rather, it seems that the exceptional purity of his mind, which shines throughout the entire work, led him to think fairly of Christians and to adorn their piety with due praise, through a sincere and careful explanation of the Christian religion’s teachings, the precepts of Christ, the prophecies confirmed by their fulfillment, the virtues Christians practiced, and finally the rites and ceremonies they observed in their mysteries.</w:t>
      </w:r>
    </w:p>
    <w:p w14:paraId="266CFC14" w14:textId="77777777" w:rsidR="005C2B3E" w:rsidRDefault="00000000">
      <w:pPr>
        <w:ind w:firstLine="360"/>
      </w:pPr>
      <w:r>
        <w:t>II. Zonaras testifies that the result of this Apology of Saint Justin</w:t>
      </w:r>
      <w:r>
        <w:fldChar w:fldCharType="begin"/>
      </w:r>
      <w:r>
        <w:instrText xml:space="preserve"> XE "Justin" \f "Persons"</w:instrText>
      </w:r>
      <w:r>
        <w:fldChar w:fldCharType="end"/>
      </w:r>
      <w:r>
        <w:t xml:space="preserve"> was that Antoninus</w:t>
      </w:r>
      <w:r>
        <w:fldChar w:fldCharType="begin"/>
      </w:r>
      <w:r>
        <w:instrText xml:space="preserve"> XE "Antoninus" \f "Persons"</w:instrText>
      </w:r>
      <w:r>
        <w:fldChar w:fldCharType="end"/>
      </w:r>
      <w:r>
        <w:t xml:space="preserve"> suppressed the persecution. This testimony is confirmed by many things. For Justin alone offered an Apology that could instruct the emperor about the affairs of Christians. Indeed, some brothers from Asia brought their complaints to Antoninus; but from such complaints it does not seem that so much knowledge of the Christian religion could be gained as shines forth in Antoninus’s letters. It was reserved to Justin alone to handle the Church’s cause by accurately explaining its doctrines and institutions. Moreover, the emperor’s decree agrees so much with Justin’s Apology that it seems built on the opinion of the holy martyr. Justin shows that atheists are not Christians, nor is any kind of people more alien to the other crimes falsely charged against them. Likewise, the emperor declares in letters given to the common people of Asia that Christians are wrongly called atheists and are brought into hatred by other charges that cannot be proven. Justin asks that the same form of judgment be kept for Christians as for other men. Thus Antoninus also decided that </w:t>
      </w:r>
      <w:r>
        <w:rPr>
          <w:i/>
        </w:rPr>
        <w:t>no case should be brought against such men unless they are found to plot something against the Roman empire</w:t>
      </w:r>
      <w:r>
        <w:t>. Justin had appended to his Apology the letter of Hadrian</w:t>
      </w:r>
      <w:r>
        <w:fldChar w:fldCharType="begin"/>
      </w:r>
      <w:r>
        <w:instrText xml:space="preserve"> XE "Hadrian" \f "Persons"</w:instrText>
      </w:r>
      <w:r>
        <w:fldChar w:fldCharType="end"/>
      </w:r>
      <w:r>
        <w:t xml:space="preserve"> to Minucius Fundanus: Antoninus recalls Hadrian’s decree and boasts that he follows in his </w:t>
      </w:r>
      <w:r>
        <w:lastRenderedPageBreak/>
        <w:t xml:space="preserve">footsteps. Justin declares that Christians can indeed be killed, but not harmed; for it is desirable for them to meet death so that they may obtain what they hope for. Antoninus gives them the same testimony. Justin does not demand that the accusers of Christians be punished, or rather he somewhat pleads for mercy on them. But the emperor, while ordering them to be punished, seems more to have considered, as Hadrian did, that justice should be executed on wicked men than what Christians might ask to be forgiven by their enemies. As for the claim that pagans </w:t>
      </w:r>
      <w:r>
        <w:rPr>
          <w:i/>
        </w:rPr>
        <w:t>do not know the way of worshiping God, and therefore envy those who worship him and even pursue them to death</w:t>
      </w:r>
      <w:r>
        <w:t>, it is easy to see how consistent this is with the spirit of Justin’s Apology. For this was no small part of that work: to show that Christians were called into hatred because of the worship of the true God, through the machinations of demons. See nos. 12 and 46.</w:t>
      </w:r>
    </w:p>
    <w:p w14:paraId="3E0F6554" w14:textId="77777777" w:rsidR="005C2B3E" w:rsidRDefault="00000000">
      <w:pPr>
        <w:ind w:firstLine="360"/>
      </w:pPr>
      <w:r>
        <w:t>There is one thing in the emperor’s letters about which Justin</w:t>
      </w:r>
      <w:r>
        <w:fldChar w:fldCharType="begin"/>
      </w:r>
      <w:r>
        <w:instrText xml:space="preserve"> XE "Justin" \f "Persons"</w:instrText>
      </w:r>
      <w:r>
        <w:fldChar w:fldCharType="end"/>
      </w:r>
      <w:r>
        <w:t xml:space="preserve"> does not seem to have spoken, namely the earthquake, the cause of which the pagans traced back to the contempt of the gods’ worship by Christians. But when Justin wrote these things, these disasters do not yet seem to have arisen.</w:t>
      </w:r>
    </w:p>
    <w:p w14:paraId="6FAF2E17" w14:textId="77777777" w:rsidR="005C2B3E" w:rsidRDefault="00000000">
      <w:pPr>
        <w:ind w:firstLine="360"/>
      </w:pPr>
      <w:r>
        <w:t>III. It must not be concealed that these letters to the common people of Asia have seemed to many learned writers, such as Scaliger</w:t>
      </w:r>
      <w:r>
        <w:fldChar w:fldCharType="begin"/>
      </w:r>
      <w:r>
        <w:instrText xml:space="preserve"> XE "Scaliger" \f "Persons"</w:instrText>
      </w:r>
      <w:r>
        <w:fldChar w:fldCharType="end"/>
      </w:r>
      <w:r>
        <w:t>, Valesius</w:t>
      </w:r>
      <w:r>
        <w:fldChar w:fldCharType="begin"/>
      </w:r>
      <w:r>
        <w:instrText xml:space="preserve"> XE "Valesius" \f "Persons"</w:instrText>
      </w:r>
      <w:r>
        <w:fldChar w:fldCharType="end"/>
      </w:r>
      <w:r>
        <w:t>, Grabius</w:t>
      </w:r>
      <w:r>
        <w:fldChar w:fldCharType="begin"/>
      </w:r>
      <w:r>
        <w:instrText xml:space="preserve"> XE "Grabius" \f "Persons"</w:instrText>
      </w:r>
      <w:r>
        <w:fldChar w:fldCharType="end"/>
      </w:r>
      <w:r>
        <w:t>, and others, not to be those of Antoninus</w:t>
      </w:r>
      <w:r>
        <w:fldChar w:fldCharType="begin"/>
      </w:r>
      <w:r>
        <w:instrText xml:space="preserve"> XE "Antoninus" \f "Persons"</w:instrText>
      </w:r>
      <w:r>
        <w:fldChar w:fldCharType="end"/>
      </w:r>
      <w:r>
        <w:t xml:space="preserve"> but of Marcus</w:t>
      </w:r>
      <w:r>
        <w:fldChar w:fldCharType="begin"/>
      </w:r>
      <w:r>
        <w:instrText xml:space="preserve"> XE "Marcus" \f "Persons"</w:instrText>
      </w:r>
      <w:r>
        <w:fldChar w:fldCharType="end"/>
      </w:r>
      <w:r>
        <w:t xml:space="preserve"> Aurelius</w:t>
      </w:r>
      <w:r>
        <w:fldChar w:fldCharType="begin"/>
      </w:r>
      <w:r>
        <w:instrText xml:space="preserve"> XE "Marcus Aurelius" \f "Persons"</w:instrText>
      </w:r>
      <w:r>
        <w:fldChar w:fldCharType="end"/>
      </w:r>
      <w:r>
        <w:t>. But their opinion is entirely unlikely. For, as I will briefly set forth the reasons of Tillemont, who defends these letters as Antoninus’s: 1º The authority of Eusebius</w:t>
      </w:r>
      <w:r>
        <w:fldChar w:fldCharType="begin"/>
      </w:r>
      <w:r>
        <w:instrText xml:space="preserve"> XE "Eusebius" \f "Persons"</w:instrText>
      </w:r>
      <w:r>
        <w:fldChar w:fldCharType="end"/>
      </w:r>
      <w:r>
        <w:t>, who attributes them to Antoninus, must carry great weight. 2º They suit only Antoninus, who alone could call Hadrian</w:t>
      </w:r>
      <w:r>
        <w:fldChar w:fldCharType="begin"/>
      </w:r>
      <w:r>
        <w:instrText xml:space="preserve"> XE "Hadrian" \f "Persons"</w:instrText>
      </w:r>
      <w:r>
        <w:fldChar w:fldCharType="end"/>
      </w:r>
      <w:r>
        <w:t xml:space="preserve"> his parent and alone after Hadrian in that age favored Christians. It is certain that he wrote these things </w:t>
      </w:r>
      <w:r>
        <w:rPr>
          <w:i/>
        </w:rPr>
        <w:t>to the cities and especially to the people of Larissa, Thessalonica, Athens, and finally to all the Greeks</w:t>
      </w:r>
      <w:r>
        <w:t xml:space="preserve">, which are read in the letters to the common people of Asia, namely </w:t>
      </w:r>
      <w:r>
        <w:rPr>
          <w:i/>
        </w:rPr>
        <w:t>that they should not plot anything new against the Christians</w:t>
      </w:r>
      <w:r>
        <w:t>. But Marcus was always hostile to Christians.</w:t>
      </w:r>
    </w:p>
    <w:p w14:paraId="2E881BBF" w14:textId="77777777" w:rsidR="005C2B3E" w:rsidRDefault="00000000">
      <w:pPr>
        <w:ind w:firstLine="360"/>
      </w:pPr>
      <w:r>
        <w:t>It is indeed read in the title of the letter to the common people of Asia Μάρκος Αὐρήλιος, but this is a blemish, an ancient one indeed, as Ruffinus</w:t>
      </w:r>
      <w:r>
        <w:fldChar w:fldCharType="begin"/>
      </w:r>
      <w:r>
        <w:instrText xml:space="preserve"> XE "Ruffinus" \f "Persons"</w:instrText>
      </w:r>
      <w:r>
        <w:fldChar w:fldCharType="end"/>
      </w:r>
      <w:r>
        <w:t xml:space="preserve"> has it, but still a blemish; instead of Αἵλιος, as with Justin</w:t>
      </w:r>
      <w:r>
        <w:fldChar w:fldCharType="begin"/>
      </w:r>
      <w:r>
        <w:instrText xml:space="preserve"> XE "Justin" \f "Persons"</w:instrText>
      </w:r>
      <w:r>
        <w:fldChar w:fldCharType="end"/>
      </w:r>
      <w:r>
        <w:t>. It was easy for scribes to make a mistake in words so similar.</w:t>
      </w:r>
    </w:p>
    <w:p w14:paraId="369D3DBD" w14:textId="77777777" w:rsidR="005C2B3E" w:rsidRDefault="00000000">
      <w:pPr>
        <w:ind w:firstLine="360"/>
      </w:pPr>
      <w:r>
        <w:t>It is uselessly objected that Melito</w:t>
      </w:r>
      <w:r>
        <w:fldChar w:fldCharType="begin"/>
      </w:r>
      <w:r>
        <w:instrText xml:space="preserve"> XE "Melito" \f "Persons"</w:instrText>
      </w:r>
      <w:r>
        <w:fldChar w:fldCharType="end"/>
      </w:r>
      <w:r>
        <w:t xml:space="preserve"> is silent. For although he does not specifically mention the letters given to the common people of Asia among the letters written by Antoninus</w:t>
      </w:r>
      <w:r>
        <w:fldChar w:fldCharType="begin"/>
      </w:r>
      <w:r>
        <w:instrText xml:space="preserve"> XE "Antoninus" \f "Persons"</w:instrText>
      </w:r>
      <w:r>
        <w:fldChar w:fldCharType="end"/>
      </w:r>
      <w:r>
        <w:t xml:space="preserve"> for Christians, he is nevertheless cited by Eusebius</w:t>
      </w:r>
      <w:r>
        <w:fldChar w:fldCharType="begin"/>
      </w:r>
      <w:r>
        <w:instrText xml:space="preserve"> XE "Eusebius" \f "Persons"</w:instrText>
      </w:r>
      <w:r>
        <w:fldChar w:fldCharType="end"/>
      </w:r>
      <w:r>
        <w:t xml:space="preserve"> as a witness to these letters of Antoninus. For after he mentions these letters, he immediately adds: “These things were done, as Melito, bishop of the Church of Sardis, who flourished at the same time, clearly testifies in that very useful </w:t>
      </w:r>
      <w:r>
        <w:rPr>
          <w:i/>
        </w:rPr>
        <w:t>Apology</w:t>
      </w:r>
      <w:r>
        <w:t xml:space="preserve"> which he wrote to Emperor Verus on behalf of our religion.” How then is Melito said to have been silent about what Eusebius </w:t>
      </w:r>
      <w:r>
        <w:lastRenderedPageBreak/>
        <w:t>asserts he clearly testified? Either Melito mentioned that letter to the common people of Asia elsewhere, or, which I prefer, Eusebius thought that those letters sent to the cities and to all the Greeks were generally included, since all were written with the same meaning, nor can those letters, which are to the common people of Asia, be referred to another time or event.</w:t>
      </w:r>
    </w:p>
    <w:p w14:paraId="49563CD9" w14:textId="77777777" w:rsidR="005C2B3E" w:rsidRDefault="00000000">
      <w:pPr>
        <w:ind w:firstLine="360"/>
      </w:pPr>
      <w:r>
        <w:t>IV. As to the year in which Justin</w:t>
      </w:r>
      <w:r>
        <w:fldChar w:fldCharType="begin"/>
      </w:r>
      <w:r>
        <w:instrText xml:space="preserve"> XE "Justin" \f "Persons"</w:instrText>
      </w:r>
      <w:r>
        <w:fldChar w:fldCharType="end"/>
      </w:r>
      <w:r>
        <w:t xml:space="preserve">’s </w:t>
      </w:r>
      <w:r>
        <w:rPr>
          <w:i/>
        </w:rPr>
        <w:t>Apology</w:t>
      </w:r>
      <w:r>
        <w:t xml:space="preserve"> was written, there is not one opinion among scholars. Dodwell and Pagi think it was written in the year 138; Petavius</w:t>
      </w:r>
      <w:r>
        <w:fldChar w:fldCharType="begin"/>
      </w:r>
      <w:r>
        <w:instrText xml:space="preserve"> XE "Petavius" \f "Persons"</w:instrText>
      </w:r>
      <w:r>
        <w:fldChar w:fldCharType="end"/>
      </w:r>
      <w:r>
        <w:t xml:space="preserve"> before the end of 139; others in 145; Tillemont around the year 150.</w:t>
      </w:r>
    </w:p>
    <w:p w14:paraId="0C692BB9" w14:textId="77777777" w:rsidR="005C2B3E" w:rsidRDefault="00000000">
      <w:pPr>
        <w:ind w:firstLine="360"/>
      </w:pPr>
      <w:r>
        <w:t>What we said about Justin</w:t>
      </w:r>
      <w:r>
        <w:fldChar w:fldCharType="begin"/>
      </w:r>
      <w:r>
        <w:instrText xml:space="preserve"> XE "Justin" \f "Persons"</w:instrText>
      </w:r>
      <w:r>
        <w:fldChar w:fldCharType="end"/>
      </w:r>
      <w:r>
        <w:t xml:space="preserve">’s </w:t>
      </w:r>
      <w:r>
        <w:rPr>
          <w:i/>
        </w:rPr>
        <w:t>Cohortation</w:t>
      </w:r>
      <w:r>
        <w:t xml:space="preserve"> forces us to completely reject the year 139. For the </w:t>
      </w:r>
      <w:r>
        <w:rPr>
          <w:i/>
        </w:rPr>
        <w:t>Cohortation</w:t>
      </w:r>
      <w:r>
        <w:t xml:space="preserve">, which could not have been written before the year 140, was followed by many other important works before Justin wrote his first </w:t>
      </w:r>
      <w:r>
        <w:rPr>
          <w:i/>
        </w:rPr>
        <w:t>Apology</w:t>
      </w:r>
      <w:r>
        <w:t>. Petavius</w:t>
      </w:r>
      <w:r>
        <w:fldChar w:fldCharType="begin"/>
      </w:r>
      <w:r>
        <w:instrText xml:space="preserve"> XE "Petavius" \f "Persons"</w:instrText>
      </w:r>
      <w:r>
        <w:fldChar w:fldCharType="end"/>
      </w:r>
      <w:r>
        <w:t xml:space="preserve"> and those who support him paid less attention to how awkward it is that Lucius Verus</w:t>
      </w:r>
      <w:r>
        <w:fldChar w:fldCharType="begin"/>
      </w:r>
      <w:r>
        <w:instrText xml:space="preserve"> XE "Lucius Verus" \f "Persons"</w:instrText>
      </w:r>
      <w:r>
        <w:fldChar w:fldCharType="end"/>
      </w:r>
      <w:r>
        <w:t xml:space="preserve">, who was an eight-year-old boy in the year 139, is called philosopher and lover of learning by Justin. For so it is read in the inscription: </w:t>
      </w:r>
      <w:r>
        <w:rPr>
          <w:i/>
        </w:rPr>
        <w:t>To Lucius the philosopher, son by nature of Caesar, but by adoption of Pius</w:t>
      </w:r>
      <w:r>
        <w:fldChar w:fldCharType="begin"/>
      </w:r>
      <w:r>
        <w:instrText xml:space="preserve"> XE "Pius" \f "Persons"</w:instrText>
      </w:r>
      <w:r>
        <w:fldChar w:fldCharType="end"/>
      </w:r>
      <w:r>
        <w:rPr>
          <w:i/>
        </w:rPr>
        <w:t>, lover of learning.</w:t>
      </w:r>
      <w:r>
        <w:t xml:space="preserve"> They object in vain that it should be read φιλοσόφου, not φιλοσόφῳ, so that it is not Lucius who is called philosopher, but his father, who was made Caesar by Hadrian</w:t>
      </w:r>
      <w:r>
        <w:fldChar w:fldCharType="begin"/>
      </w:r>
      <w:r>
        <w:instrText xml:space="preserve"> XE "Hadrian" \f "Persons"</w:instrText>
      </w:r>
      <w:r>
        <w:fldChar w:fldCharType="end"/>
      </w:r>
      <w:r>
        <w:t xml:space="preserve">. But Lucius Verus is called philosopher both in Justin’s two </w:t>
      </w:r>
      <w:r>
        <w:rPr>
          <w:i/>
        </w:rPr>
        <w:t>Apologies</w:t>
      </w:r>
      <w:r>
        <w:t xml:space="preserve"> and by Ruffinus</w:t>
      </w:r>
      <w:r>
        <w:fldChar w:fldCharType="begin"/>
      </w:r>
      <w:r>
        <w:instrText xml:space="preserve"> XE "Ruffinus" \f "Persons"</w:instrText>
      </w:r>
      <w:r>
        <w:fldChar w:fldCharType="end"/>
      </w:r>
      <w:r>
        <w:t xml:space="preserve"> and in four manuscripts of Eusebius</w:t>
      </w:r>
      <w:r>
        <w:fldChar w:fldCharType="begin"/>
      </w:r>
      <w:r>
        <w:instrText xml:space="preserve"> XE "Eusebius" \f "Persons"</w:instrText>
      </w:r>
      <w:r>
        <w:fldChar w:fldCharType="end"/>
      </w:r>
      <w:r>
        <w:t>. Therefore, the editions of Eusebius, which contradict so much, should not be preferred. The title of philosopher, which we do not see as given to Lucius Caesar</w:t>
      </w:r>
      <w:r>
        <w:fldChar w:fldCharType="begin"/>
      </w:r>
      <w:r>
        <w:instrText xml:space="preserve"> XE "Lucius Caesar" \f "Persons"</w:instrText>
      </w:r>
      <w:r>
        <w:fldChar w:fldCharType="end"/>
      </w:r>
      <w:r>
        <w:t>, is rightly given to his son, whom Julius Capitolinus</w:t>
      </w:r>
      <w:r>
        <w:fldChar w:fldCharType="begin"/>
      </w:r>
      <w:r>
        <w:instrText xml:space="preserve"> XE "Julius Capitolinus" \f "Persons"</w:instrText>
      </w:r>
      <w:r>
        <w:fldChar w:fldCharType="end"/>
      </w:r>
      <w:r>
        <w:t xml:space="preserve"> testifies was devoted to philosophy, Apollonius</w:t>
      </w:r>
      <w:r>
        <w:fldChar w:fldCharType="begin"/>
      </w:r>
      <w:r>
        <w:instrText xml:space="preserve"> XE "Apollonius" \f "Persons"</w:instrText>
      </w:r>
      <w:r>
        <w:fldChar w:fldCharType="end"/>
      </w:r>
      <w:r>
        <w:t xml:space="preserve"> and Sextus</w:t>
      </w:r>
      <w:r>
        <w:fldChar w:fldCharType="begin"/>
      </w:r>
      <w:r>
        <w:instrText xml:space="preserve"> XE "Sextus" \f "Persons"</w:instrText>
      </w:r>
      <w:r>
        <w:fldChar w:fldCharType="end"/>
      </w:r>
      <w:r>
        <w:t xml:space="preserve">. But that phrase, ἐραστῇ παιδείας, </w:t>
      </w:r>
      <w:r>
        <w:rPr>
          <w:i/>
        </w:rPr>
        <w:t>lover of learning</w:t>
      </w:r>
      <w:r>
        <w:t>, which they say does not fit with the title philosopher, we have shown fits well enough in the note on this passage; and even if it meant knowledge rather than philosophy, could not Justin have given both praises to Lucius?</w:t>
      </w:r>
    </w:p>
    <w:p w14:paraId="39BF1859" w14:textId="77777777" w:rsidR="005C2B3E" w:rsidRDefault="00000000">
      <w:pPr>
        <w:ind w:firstLine="360"/>
      </w:pPr>
      <w:r>
        <w:t>Justin</w:t>
      </w:r>
      <w:r>
        <w:fldChar w:fldCharType="begin"/>
      </w:r>
      <w:r>
        <w:instrText xml:space="preserve"> XE "Justin" \f "Persons"</w:instrText>
      </w:r>
      <w:r>
        <w:fldChar w:fldCharType="end"/>
      </w:r>
      <w:r>
        <w:t xml:space="preserve"> says that the Lord was born before 150 years ago, and although the calculation may be somewhat off or incomplete, it is not so much that it is shortened by eleven or twelve years; for Justin would not have avoided a shameful mistake if he had written in the years 138 or 139.</w:t>
      </w:r>
    </w:p>
    <w:p w14:paraId="7315D463" w14:textId="77777777" w:rsidR="005C2B3E" w:rsidRDefault="00000000">
      <w:pPr>
        <w:ind w:firstLine="360"/>
      </w:pPr>
      <w:r>
        <w:t>By these arguments, Tillemont shows that Marcion</w:t>
      </w:r>
      <w:r>
        <w:fldChar w:fldCharType="begin"/>
      </w:r>
      <w:r>
        <w:instrText xml:space="preserve"> XE "Marcion" \f "Persons"</w:instrText>
      </w:r>
      <w:r>
        <w:fldChar w:fldCharType="end"/>
      </w:r>
      <w:r>
        <w:t>’s heresy could not have appeared before the year 142, and by the same reasons the time of Justin</w:t>
      </w:r>
      <w:r>
        <w:fldChar w:fldCharType="begin"/>
      </w:r>
      <w:r>
        <w:instrText xml:space="preserve"> XE "Justin" \f "Persons"</w:instrText>
      </w:r>
      <w:r>
        <w:fldChar w:fldCharType="end"/>
      </w:r>
      <w:r>
        <w:t xml:space="preserve">’s </w:t>
      </w:r>
      <w:r>
        <w:rPr>
          <w:i/>
        </w:rPr>
        <w:t>Apology</w:t>
      </w:r>
      <w:r>
        <w:t xml:space="preserve"> must be agreed upon. For how much progress this heresy had made when Justin wrote the </w:t>
      </w:r>
      <w:r>
        <w:rPr>
          <w:i/>
        </w:rPr>
        <w:t>Apology</w:t>
      </w:r>
      <w:r>
        <w:t xml:space="preserve"> is clear from these words: “We also know a certain Marcion from Pontus, who still lives and teaches his disciples to recognize another, greater than the maker of the world, God. He has perfected, with the help of demons among all kinds of men, that many break out into blasphemies and all deny that the Creator God is the Father of Christ, and confess another, as it were greater, who has done greater things than him.”</w:t>
      </w:r>
    </w:p>
    <w:p w14:paraId="2781D3CD" w14:textId="77777777" w:rsidR="005C2B3E" w:rsidRDefault="00000000">
      <w:pPr>
        <w:ind w:firstLine="360"/>
      </w:pPr>
      <w:r>
        <w:lastRenderedPageBreak/>
        <w:t>The letter to the common people of Asia, which I said has a great similarity to Justin</w:t>
      </w:r>
      <w:r>
        <w:fldChar w:fldCharType="begin"/>
      </w:r>
      <w:r>
        <w:instrText xml:space="preserve"> XE "Justin" \f "Persons"</w:instrText>
      </w:r>
      <w:r>
        <w:fldChar w:fldCharType="end"/>
      </w:r>
      <w:r>
        <w:t xml:space="preserve">’s </w:t>
      </w:r>
      <w:r>
        <w:rPr>
          <w:i/>
        </w:rPr>
        <w:t>Apology</w:t>
      </w:r>
      <w:r>
        <w:t xml:space="preserve">, proves that the </w:t>
      </w:r>
      <w:r>
        <w:rPr>
          <w:i/>
        </w:rPr>
        <w:t>Apology</w:t>
      </w:r>
      <w:r>
        <w:t xml:space="preserve"> was written around the year 150. For it is dated to the 15th year of the tribunician power of Antoninus</w:t>
      </w:r>
      <w:r>
        <w:fldChar w:fldCharType="begin"/>
      </w:r>
      <w:r>
        <w:instrText xml:space="preserve"> XE "Antoninus" \f "Persons"</w:instrText>
      </w:r>
      <w:r>
        <w:fldChar w:fldCharType="end"/>
      </w:r>
      <w:r>
        <w:t>, which agrees with the year 152, since Antoninus was granted power on February 25 in the year 138. Yet I admit I do not trust much the numbers noted in the inscription of this letter. For they were very corrupt in Justin, where it was read: Δημαρχικῆς ἐξουσίας ὕπατος πδʾ, (from which Sylburgius</w:t>
      </w:r>
      <w:r>
        <w:fldChar w:fldCharType="begin"/>
      </w:r>
      <w:r>
        <w:instrText xml:space="preserve"> XE "Sylburgius" \f "Persons"</w:instrText>
      </w:r>
      <w:r>
        <w:fldChar w:fldCharType="end"/>
      </w:r>
      <w:r>
        <w:t xml:space="preserve"> made τὸ δʹ) πατὴρ πατρίδος τὸ καʹ. And so, since the manuscripts of Eusebius</w:t>
      </w:r>
      <w:r>
        <w:fldChar w:fldCharType="begin"/>
      </w:r>
      <w:r>
        <w:instrText xml:space="preserve"> XE "Eusebius" \f "Persons"</w:instrText>
      </w:r>
      <w:r>
        <w:fldChar w:fldCharType="end"/>
      </w:r>
      <w:r>
        <w:t xml:space="preserve"> agreed on these numbers, I preferred this authority to those so corrupted in Justin. But still, in this number in Eusebius, ὕπατος τὸ γʹ, there is a clear error, which does not seem to have been caused by carelessness, but was done on purpose so that with M</w:t>
      </w:r>
      <w:r>
        <w:fldChar w:fldCharType="begin"/>
      </w:r>
      <w:r>
        <w:instrText xml:space="preserve"> XE "M" \f "Persons"</w:instrText>
      </w:r>
      <w:r>
        <w:fldChar w:fldCharType="end"/>
      </w:r>
      <w:r>
        <w:t>arcus Aurelius</w:t>
      </w:r>
      <w:r>
        <w:fldChar w:fldCharType="begin"/>
      </w:r>
      <w:r>
        <w:instrText xml:space="preserve"> XE "Aurelius" \f "Persons"</w:instrText>
      </w:r>
      <w:r>
        <w:fldChar w:fldCharType="end"/>
      </w:r>
      <w:r>
        <w:fldChar w:fldCharType="begin"/>
      </w:r>
      <w:r>
        <w:instrText xml:space="preserve"> XE "Marcus Aurelius" \f "Persons"</w:instrText>
      </w:r>
      <w:r>
        <w:fldChar w:fldCharType="end"/>
      </w:r>
      <w:r>
        <w:t>, whose name appears in the inscription in Eusebius, this number would fit. For he only had the consulship three times. But since Antoninus, to whom many attribute this letter, is usually called consul four times in inscriptions, the reading in the inscription of this letter should be ὕπατος τὸ δʹ. Yet another suspicion arises about the years of the tribunician power: for I fear that the name of M. Aurelius was fitted in on purpose. They fall very conveniently into the first year of his reign, namely 161. For the tribunician power was granted to him in the year 147. Therefore, if it had been written ιγʹ or ιδʹ, that would not have harmed the name of Antoninus; but it was necessary to write ιε, so that Marcus Aurelius would seem to be the author of the letter.</w:t>
      </w:r>
    </w:p>
    <w:p w14:paraId="3AA72070" w14:textId="77777777" w:rsidR="005C2B3E" w:rsidRDefault="00000000">
      <w:pPr>
        <w:ind w:firstLine="360"/>
      </w:pPr>
      <w:r>
        <w:t>If only as much credit were given to Eusebius</w:t>
      </w:r>
      <w:r>
        <w:fldChar w:fldCharType="begin"/>
      </w:r>
      <w:r>
        <w:instrText xml:space="preserve"> XE "Eusebius" \f "Persons"</w:instrText>
      </w:r>
      <w:r>
        <w:fldChar w:fldCharType="end"/>
      </w:r>
      <w:r>
        <w:t xml:space="preserve">’s </w:t>
      </w:r>
      <w:r>
        <w:rPr>
          <w:i/>
        </w:rPr>
        <w:t>Chronicles</w:t>
      </w:r>
      <w:r>
        <w:t xml:space="preserve"> as to his </w:t>
      </w:r>
      <w:r>
        <w:rPr>
          <w:i/>
        </w:rPr>
        <w:t>History</w:t>
      </w:r>
      <w:r>
        <w:t xml:space="preserve">, no slight difficulty would stand in the way of rejecting this </w:t>
      </w:r>
      <w:r>
        <w:rPr>
          <w:i/>
        </w:rPr>
        <w:t>Apology</w:t>
      </w:r>
      <w:r>
        <w:t xml:space="preserve"> to around the year 150. For in the </w:t>
      </w:r>
      <w:r>
        <w:rPr>
          <w:i/>
        </w:rPr>
        <w:t>Chronicles</w:t>
      </w:r>
      <w:r>
        <w:t xml:space="preserve"> the year 141 is given. But the Marcionite heresy would be older, which nevertheless Eusebius’s </w:t>
      </w:r>
      <w:r>
        <w:rPr>
          <w:i/>
        </w:rPr>
        <w:t>History</w:t>
      </w:r>
      <w:r>
        <w:t xml:space="preserve"> does not allow to be placed before the year 142.</w:t>
      </w:r>
    </w:p>
    <w:p w14:paraId="38942EAC" w14:textId="77777777" w:rsidR="005C2B3E" w:rsidRDefault="00000000">
      <w:pPr>
        <w:ind w:firstLine="360"/>
      </w:pPr>
      <w:r>
        <w:t>Petavius</w:t>
      </w:r>
      <w:r>
        <w:fldChar w:fldCharType="begin"/>
      </w:r>
      <w:r>
        <w:instrText xml:space="preserve"> XE "Petavius" \f "Persons"</w:instrText>
      </w:r>
      <w:r>
        <w:fldChar w:fldCharType="end"/>
      </w:r>
      <w:r>
        <w:t xml:space="preserve"> objects that Marcus</w:t>
      </w:r>
      <w:r>
        <w:fldChar w:fldCharType="begin"/>
      </w:r>
      <w:r>
        <w:instrText xml:space="preserve"> XE "Marcus" \f "Persons"</w:instrText>
      </w:r>
      <w:r>
        <w:fldChar w:fldCharType="end"/>
      </w:r>
      <w:r>
        <w:t xml:space="preserve"> Aurelius is called Verissimus</w:t>
      </w:r>
      <w:r>
        <w:fldChar w:fldCharType="begin"/>
      </w:r>
      <w:r>
        <w:instrText xml:space="preserve"> XE "Verissimus" \f "Persons"</w:instrText>
      </w:r>
      <w:r>
        <w:fldChar w:fldCharType="end"/>
      </w:r>
      <w:r>
        <w:t xml:space="preserve"> in this </w:t>
      </w:r>
      <w:r>
        <w:rPr>
          <w:i/>
        </w:rPr>
        <w:t>Apology</w:t>
      </w:r>
      <w:r>
        <w:t xml:space="preserve">, since, according to the Capitoline, he laid down his man’s toga after that; and that he is not called Caesar, which is the argument that this </w:t>
      </w:r>
      <w:r>
        <w:rPr>
          <w:i/>
        </w:rPr>
        <w:t>Apology</w:t>
      </w:r>
      <w:r>
        <w:t xml:space="preserve"> was written in the year 139, before Marcus was called Caesar by Antoninus</w:t>
      </w:r>
      <w:r>
        <w:fldChar w:fldCharType="begin"/>
      </w:r>
      <w:r>
        <w:instrText xml:space="preserve"> XE "Antoninus" \f "Persons"</w:instrText>
      </w:r>
      <w:r>
        <w:fldChar w:fldCharType="end"/>
      </w:r>
      <w:r>
        <w:t>.</w:t>
      </w:r>
    </w:p>
    <w:p w14:paraId="27CF48FD" w14:textId="77777777" w:rsidR="005C2B3E" w:rsidRDefault="00000000">
      <w:pPr>
        <w:ind w:firstLine="360"/>
      </w:pPr>
      <w:r>
        <w:t>The title Verissimus</w:t>
      </w:r>
      <w:r>
        <w:fldChar w:fldCharType="begin"/>
      </w:r>
      <w:r>
        <w:instrText xml:space="preserve"> XE "Verissimus" \f "Persons"</w:instrText>
      </w:r>
      <w:r>
        <w:fldChar w:fldCharType="end"/>
      </w:r>
      <w:r>
        <w:t xml:space="preserve"> proves nothing. For Marcus Aurelius</w:t>
      </w:r>
      <w:r>
        <w:fldChar w:fldCharType="begin"/>
      </w:r>
      <w:r>
        <w:instrText xml:space="preserve"> XE "Marcus Aurelius" \f "Persons"</w:instrText>
      </w:r>
      <w:r>
        <w:fldChar w:fldCharType="end"/>
      </w:r>
      <w:r>
        <w:t xml:space="preserve"> had taken the man’s toga before the year 139, in which year Petavius</w:t>
      </w:r>
      <w:r>
        <w:fldChar w:fldCharType="begin"/>
      </w:r>
      <w:r>
        <w:instrText xml:space="preserve"> XE "Petavius" \f "Persons"</w:instrText>
      </w:r>
      <w:r>
        <w:fldChar w:fldCharType="end"/>
      </w:r>
      <w:r>
        <w:t xml:space="preserve"> himself admits that Justin called him so. But the name Caesar was either carelessly omitted by Justin, or lost through the fault of the scribes; or it should be read </w:t>
      </w:r>
      <w:r>
        <w:rPr>
          <w:i/>
        </w:rPr>
        <w:t>and Caesar verissimus son</w:t>
      </w:r>
      <w:r>
        <w:t xml:space="preserve"> in place of Antoninus</w:t>
      </w:r>
      <w:r>
        <w:fldChar w:fldCharType="begin"/>
      </w:r>
      <w:r>
        <w:instrText xml:space="preserve"> XE "Antoninus" \f "Persons"</w:instrText>
      </w:r>
      <w:r>
        <w:fldChar w:fldCharType="end"/>
      </w:r>
      <w:r>
        <w:t xml:space="preserve"> Pius</w:t>
      </w:r>
      <w:r>
        <w:fldChar w:fldCharType="begin"/>
      </w:r>
      <w:r>
        <w:instrText xml:space="preserve"> XE "Pius" \f "Persons"</w:instrText>
      </w:r>
      <w:r>
        <w:fldChar w:fldCharType="end"/>
      </w:r>
      <w:r>
        <w:t xml:space="preserve"> Augustus Caesar and Verissimus son, as Sylburgius</w:t>
      </w:r>
      <w:r>
        <w:fldChar w:fldCharType="begin"/>
      </w:r>
      <w:r>
        <w:instrText xml:space="preserve"> XE "Sylburgius" \f "Persons"</w:instrText>
      </w:r>
      <w:r>
        <w:fldChar w:fldCharType="end"/>
      </w:r>
      <w:r>
        <w:t xml:space="preserve"> pointed out.</w:t>
      </w:r>
    </w:p>
    <w:p w14:paraId="562FD6D8" w14:textId="77777777" w:rsidR="005C2B3E" w:rsidRDefault="00000000">
      <w:pPr>
        <w:ind w:firstLine="360"/>
      </w:pPr>
      <w:r>
        <w:t>It seems more difficult for Tillemont to solve what is objected by the same Petavius</w:t>
      </w:r>
      <w:r>
        <w:fldChar w:fldCharType="begin"/>
      </w:r>
      <w:r>
        <w:instrText xml:space="preserve"> XE "Petavius" \f "Persons"</w:instrText>
      </w:r>
      <w:r>
        <w:fldChar w:fldCharType="end"/>
      </w:r>
      <w:r>
        <w:t xml:space="preserve"> and many others, that Justin</w:t>
      </w:r>
      <w:r>
        <w:fldChar w:fldCharType="begin"/>
      </w:r>
      <w:r>
        <w:instrText xml:space="preserve"> XE "Justin" \f "Persons"</w:instrText>
      </w:r>
      <w:r>
        <w:fldChar w:fldCharType="end"/>
      </w:r>
      <w:r>
        <w:t xml:space="preserve"> in this </w:t>
      </w:r>
      <w:r>
        <w:rPr>
          <w:i/>
        </w:rPr>
        <w:t>Apology</w:t>
      </w:r>
      <w:r>
        <w:t xml:space="preserve"> speaks of the Jewish war, which was finished in the year 136, as if speaking about a very recent and newly happened event, as is clear from these words, no. 31, ἐν τῷ νῦν γεγενημένῳ Ἰουδαϊκῷ πολέμῳ. But I have already noted that the word νῦν is sometimes used about things long past, and </w:t>
      </w:r>
      <w:r>
        <w:lastRenderedPageBreak/>
        <w:t xml:space="preserve">that the Christian religion is said to have νῦν arisen in the Epistle to Diognetus, and Christ νῦν incarnate in this </w:t>
      </w:r>
      <w:r>
        <w:rPr>
          <w:i/>
        </w:rPr>
        <w:t>Apology</w:t>
      </w:r>
      <w:r>
        <w:t xml:space="preserve">. In the same </w:t>
      </w:r>
      <w:r>
        <w:rPr>
          <w:i/>
        </w:rPr>
        <w:t>Apology</w:t>
      </w:r>
      <w:r>
        <w:t xml:space="preserve"> Antinous, whom Hadrian</w:t>
      </w:r>
      <w:r>
        <w:fldChar w:fldCharType="begin"/>
      </w:r>
      <w:r>
        <w:instrText xml:space="preserve"> XE "Hadrian" \f "Persons"</w:instrText>
      </w:r>
      <w:r>
        <w:fldChar w:fldCharType="end"/>
      </w:r>
      <w:r>
        <w:t xml:space="preserve"> consecrated among the gods in the year 132, is said to have νῦν existed, no. 23.</w:t>
      </w:r>
    </w:p>
    <w:p w14:paraId="0451FA82" w14:textId="77777777" w:rsidR="005C2B3E" w:rsidRDefault="00000000">
      <w:pPr>
        <w:ind w:firstLine="360"/>
      </w:pPr>
      <w:r>
        <w:t xml:space="preserve">To the fifth </w:t>
      </w:r>
      <w:r>
        <w:rPr>
          <w:i/>
        </w:rPr>
        <w:t>Apology</w:t>
      </w:r>
      <w:r>
        <w:t xml:space="preserve"> of Justin are added letters of three emperors, Hadrian, Antoninus, and Marcus Aurelius, in favor of the Christians. It is certain that the first was added by Justin himself: for he is both witness and reminder of this matter. Scaliger, in his </w:t>
      </w:r>
      <w:r>
        <w:rPr>
          <w:i/>
        </w:rPr>
        <w:t>Remarks</w:t>
      </w:r>
      <w:r>
        <w:t xml:space="preserve"> on Eusebius</w:t>
      </w:r>
      <w:r>
        <w:fldChar w:fldCharType="begin"/>
      </w:r>
      <w:r>
        <w:instrText xml:space="preserve"> XE "Eusebius" \f "Persons"</w:instrText>
      </w:r>
      <w:r>
        <w:fldChar w:fldCharType="end"/>
      </w:r>
      <w:r>
        <w:t xml:space="preserve"> for the year 189, thinks that the second was transferred here from Eusebius’ </w:t>
      </w:r>
      <w:r>
        <w:rPr>
          <w:i/>
        </w:rPr>
        <w:t>History</w:t>
      </w:r>
      <w:r>
        <w:t>; but a more recent Greek declares the third to be a forgery by someone ignorant of Roman affairs, made after the time of Emperor Justinian.</w:t>
      </w:r>
    </w:p>
    <w:p w14:paraId="5803FF21" w14:textId="77777777" w:rsidR="005C2B3E" w:rsidRDefault="00000000">
      <w:pPr>
        <w:ind w:firstLine="360"/>
      </w:pPr>
      <w:r>
        <w:t>It does not seem possible to doubt that letters of Marcus Aurelius once existed, in which he testified that both he and the army, when pressed by thirst and surrounded by enemies, escaped both dangers through the prayers of the Christians. Eusebius</w:t>
      </w:r>
      <w:r>
        <w:fldChar w:fldCharType="begin"/>
      </w:r>
      <w:r>
        <w:instrText xml:space="preserve"> XE "Eusebius" \f "Persons"</w:instrText>
      </w:r>
      <w:r>
        <w:fldChar w:fldCharType="end"/>
      </w:r>
      <w:r>
        <w:t xml:space="preserve"> had not seen these letters when he wrote the </w:t>
      </w:r>
      <w:r>
        <w:rPr>
          <w:i/>
        </w:rPr>
        <w:t>Chronicle</w:t>
      </w:r>
      <w:r>
        <w:t>, nor did he have anything about them except hearsay. But Jerome</w:t>
      </w:r>
      <w:r>
        <w:fldChar w:fldCharType="begin"/>
      </w:r>
      <w:r>
        <w:instrText xml:space="preserve"> XE "Jerome" \f "Persons"</w:instrText>
      </w:r>
      <w:r>
        <w:fldChar w:fldCharType="end"/>
      </w:r>
      <w:r>
        <w:t xml:space="preserve"> renders this passage of Eusebius so as to declare that those letters do exist. Eusebius himself, in </w:t>
      </w:r>
      <w:r>
        <w:rPr>
          <w:i/>
        </w:rPr>
        <w:t>History</w:t>
      </w:r>
      <w:r>
        <w:t xml:space="preserve"> book 5, chapter 5, holds the matter certain and proven by the testimony of Tertullian</w:t>
      </w:r>
      <w:r>
        <w:fldChar w:fldCharType="begin"/>
      </w:r>
      <w:r>
        <w:instrText xml:space="preserve"> XE "Tertullian" \f "Persons"</w:instrText>
      </w:r>
      <w:r>
        <w:fldChar w:fldCharType="end"/>
      </w:r>
      <w:r>
        <w:t xml:space="preserve">. For thus Tertullian says, </w:t>
      </w:r>
      <w:r>
        <w:rPr>
          <w:i/>
        </w:rPr>
        <w:t>Apology</w:t>
      </w:r>
      <w:r>
        <w:t>, chapter 5: “But we, on the contrary, produce a protector; if the letters of Marcus Aurelius are sought, by which he testifies that the Germanic thirst was perhaps broken by the prayers of Christian soldiers. Just as he did not openly remove punishment from such men, so in another way he openly scattered it, adding also condemnation to the accusers, and indeed a harsher one.”</w:t>
      </w:r>
    </w:p>
    <w:p w14:paraId="2C5F6DC8" w14:textId="77777777" w:rsidR="005C2B3E" w:rsidRDefault="00000000">
      <w:pPr>
        <w:ind w:firstLine="360"/>
      </w:pPr>
      <w:r>
        <w:t>Relying on these words, Scaliger and Tillemont differ: the former denies that Tertullian</w:t>
      </w:r>
      <w:r>
        <w:fldChar w:fldCharType="begin"/>
      </w:r>
      <w:r>
        <w:instrText xml:space="preserve"> XE "Tertullian" \f "Persons"</w:instrText>
      </w:r>
      <w:r>
        <w:fldChar w:fldCharType="end"/>
      </w:r>
      <w:r>
        <w:t xml:space="preserve"> saw these letters, while the latter asserts it with much stronger reason. For how would the enemies of the Christian name have challenged these letters unless the matter was well established? How could he have so accurately explained what these letters contained? The letters of Marcus Aurelius</w:t>
      </w:r>
      <w:r>
        <w:fldChar w:fldCharType="begin"/>
      </w:r>
      <w:r>
        <w:instrText xml:space="preserve"> XE "Marcus Aurelius" \f "Persons"</w:instrText>
      </w:r>
      <w:r>
        <w:fldChar w:fldCharType="end"/>
      </w:r>
      <w:r>
        <w:t xml:space="preserve"> read after Justin</w:t>
      </w:r>
      <w:r>
        <w:fldChar w:fldCharType="begin"/>
      </w:r>
      <w:r>
        <w:instrText xml:space="preserve"> XE "Justin" \f "Persons"</w:instrText>
      </w:r>
      <w:r>
        <w:fldChar w:fldCharType="end"/>
      </w:r>
      <w:r>
        <w:t xml:space="preserve">’s </w:t>
      </w:r>
      <w:r>
        <w:rPr>
          <w:i/>
        </w:rPr>
        <w:t>Apology</w:t>
      </w:r>
      <w:r>
        <w:t xml:space="preserve"> are not those about which Tertullian and Jerome</w:t>
      </w:r>
      <w:r>
        <w:fldChar w:fldCharType="begin"/>
      </w:r>
      <w:r>
        <w:instrText xml:space="preserve"> XE "Jerome" \f "Persons"</w:instrText>
      </w:r>
      <w:r>
        <w:fldChar w:fldCharType="end"/>
      </w:r>
      <w:r>
        <w:t xml:space="preserve"> spoke; but we must note in what matters they agree and in which they differ.</w:t>
      </w:r>
    </w:p>
    <w:p w14:paraId="64034E7F" w14:textId="77777777" w:rsidR="005C2B3E" w:rsidRDefault="00000000">
      <w:pPr>
        <w:ind w:firstLine="360"/>
      </w:pPr>
      <w:r>
        <w:t>And at first indeed there is no difference about the very heart of the miracle. For everywhere thirst gathered from a long time, the terror of surrounding enemies, the prayers of Christians, the rain saving the Romans, and the lightning against the enemies are mentioned. The condemnation of the accusers of Christians, “and indeed a harsher one,” added by Tertullian</w:t>
      </w:r>
      <w:r>
        <w:fldChar w:fldCharType="begin"/>
      </w:r>
      <w:r>
        <w:instrText xml:space="preserve"> XE "Tertullian" \f "Persons"</w:instrText>
      </w:r>
      <w:r>
        <w:fldChar w:fldCharType="end"/>
      </w:r>
      <w:r>
        <w:t>, fits well with the letters existing after Justin</w:t>
      </w:r>
      <w:r>
        <w:fldChar w:fldCharType="begin"/>
      </w:r>
      <w:r>
        <w:instrText xml:space="preserve"> XE "Justin" \f "Persons"</w:instrText>
      </w:r>
      <w:r>
        <w:fldChar w:fldCharType="end"/>
      </w:r>
      <w:r>
        <w:t>, in which Marcus</w:t>
      </w:r>
      <w:r>
        <w:fldChar w:fldCharType="begin"/>
      </w:r>
      <w:r>
        <w:instrText xml:space="preserve"> XE "Marcus" \f "Persons"</w:instrText>
      </w:r>
      <w:r>
        <w:fldChar w:fldCharType="end"/>
      </w:r>
      <w:r>
        <w:t xml:space="preserve"> decrees that such informers be burned alive. Although Eusebius</w:t>
      </w:r>
      <w:r>
        <w:fldChar w:fldCharType="begin"/>
      </w:r>
      <w:r>
        <w:instrText xml:space="preserve"> XE "Eusebius" \f "Persons"</w:instrText>
      </w:r>
      <w:r>
        <w:fldChar w:fldCharType="end"/>
      </w:r>
      <w:r>
        <w:t xml:space="preserve">, in </w:t>
      </w:r>
      <w:r>
        <w:rPr>
          <w:i/>
        </w:rPr>
        <w:t>History</w:t>
      </w:r>
      <w:r>
        <w:t xml:space="preserve"> book 5, chapter 5, thinks that Tertullian’s words indicate capital punishment in general, I would hardly believe that “harsher condemnation” does not mean some very severe punishment. Indeed, there is something difficult in Tertullian’s words, </w:t>
      </w:r>
      <w:r>
        <w:lastRenderedPageBreak/>
        <w:t xml:space="preserve">which seems able to be explained by the letters preserved after Justin’s </w:t>
      </w:r>
      <w:r>
        <w:rPr>
          <w:i/>
        </w:rPr>
        <w:t>Apology</w:t>
      </w:r>
      <w:r>
        <w:t>. For the phrase “perhaps by the prayers of Christian soldiers” seems to Tillemont to show a doubtful and uncertain mind, not of Tertullian, but of Marcus fearing that by speaking so strongly he might harm pagan superstitions. But it seems unlikely that Marcus would have put effort into seeming doubtful. For what would uncertain and doubtful testimony have helped Tertullian in defending the cause? Moreover, Eusebius reports Tertullian’s words in such a way that no sign of doubt remains in the emperor. But I would rather believe that the word “perhaps” means the same as “by some chance”; not that Marcus rejects the rain obtained by the prayers of Christians as a coincidence, but that he believed it happened by some chance, so that he might call on Christians, about whom he otherwise thought nothing, being intent on praying to the gods.</w:t>
      </w:r>
    </w:p>
    <w:p w14:paraId="6DE74ADB" w14:textId="77777777" w:rsidR="005C2B3E" w:rsidRDefault="00000000">
      <w:pPr>
        <w:ind w:firstLine="360"/>
      </w:pPr>
      <w:r>
        <w:t>But if in any matter these letters are genuinely similar, they differ greatly in many others. They attribute the miracle to the Christians being called out from the entire army; on the contrary, among the ancients the praise of this event is given to one legion alone, which Apollinaris</w:t>
      </w:r>
      <w:r>
        <w:fldChar w:fldCharType="begin"/>
      </w:r>
      <w:r>
        <w:instrText xml:space="preserve"> XE "Apollinaris" \f "Persons"</w:instrText>
      </w:r>
      <w:r>
        <w:fldChar w:fldCharType="end"/>
      </w:r>
      <w:r>
        <w:t xml:space="preserve"> testifies to Eusebius</w:t>
      </w:r>
      <w:r>
        <w:fldChar w:fldCharType="begin"/>
      </w:r>
      <w:r>
        <w:instrText xml:space="preserve"> XE "Eusebius" \f "Persons"</w:instrText>
      </w:r>
      <w:r>
        <w:fldChar w:fldCharType="end"/>
      </w:r>
      <w:r>
        <w:t xml:space="preserve"> in book 5, chapter 5, was from then on surnamed Fulminea by the emperor with a fitting name for the matter. The letters we are discussing completely reject all punishment against one accused only by the name of the Christian religion. But this is entirely opposed to Tertullian</w:t>
      </w:r>
      <w:r>
        <w:fldChar w:fldCharType="begin"/>
      </w:r>
      <w:r>
        <w:instrText xml:space="preserve"> XE "Tertullian" \f "Persons"</w:instrText>
      </w:r>
      <w:r>
        <w:fldChar w:fldCharType="end"/>
      </w:r>
      <w:r>
        <w:t xml:space="preserve"> and to the examples of the martyrs of Vienne and Apollonius, the former of whom, when called to trial, were condemned to death by the order of Marcus himself; the latter, when called to trial by a most wicked man, had the accuser immediately killed by broken legs, but himself was condemned to death. Eusebius, 5, 21.</w:t>
      </w:r>
    </w:p>
    <w:p w14:paraId="5D2FA2E7" w14:textId="77777777" w:rsidR="005C2B3E" w:rsidRDefault="00000000">
      <w:pPr>
        <w:ind w:firstLine="360"/>
      </w:pPr>
      <w:r>
        <w:t>Scaliger mocks the author of the letter more than once for having enrolled Christians in the Roman armies without arms or weapons. But I have tried to explain this passage. He also notes that emperors do not usually call the sacred senate by that name, nor send such letters with a laurel wreath to the people and senate, but only to the senate; however, he thinks these things are taken from the beginning of the Apology of St. Justin. Thus that forged letter is addressed by Baronius</w:t>
      </w:r>
      <w:r>
        <w:fldChar w:fldCharType="begin"/>
      </w:r>
      <w:r>
        <w:instrText xml:space="preserve"> XE "Baronius" \f "Persons"</w:instrText>
      </w:r>
      <w:r>
        <w:fldChar w:fldCharType="end"/>
      </w:r>
      <w:r>
        <w:t>: Emperor Caesar Marcus Aurelius Antoninus Augustus Parthicus Germanicus Sarmaticus, chief priest, holding tribunician power for the 28th time, acclaimed imperator seven times, consul three times, father of the country, proconsul. To the Senate and People of Rome, greetings.</w:t>
      </w:r>
    </w:p>
    <w:p w14:paraId="07894EC3" w14:textId="77777777" w:rsidR="005C2B3E" w:rsidRDefault="00000000">
      <w:pPr>
        <w:pStyle w:val="Heading3"/>
      </w:pPr>
      <w:r>
        <w:lastRenderedPageBreak/>
        <w:t>CHAPTER 6</w:t>
      </w:r>
    </w:p>
    <w:p w14:paraId="399F5652" w14:textId="77777777" w:rsidR="005C2B3E" w:rsidRDefault="00000000">
      <w:pPr>
        <w:pStyle w:val="Heading4"/>
      </w:pPr>
      <w:r>
        <w:t>WHETHER JUSTIN RIGHTLY SAID THAT THE ROMANS FORBADE THE READING OF THE PROPHETS, AND THAT THE STATUE OF SIMON MAGUS WAS SAID TO BE ERECTED AS A GOD</w:t>
      </w:r>
    </w:p>
    <w:p w14:paraId="30BF6C92" w14:textId="77777777" w:rsidR="005C2B3E" w:rsidRDefault="00000000">
      <w:pPr>
        <w:spacing w:before="180" w:after="0"/>
        <w:ind w:left="720" w:right="320" w:hanging="360"/>
      </w:pPr>
      <w:r>
        <w:t>The law mentioned by Justin</w:t>
      </w:r>
      <w:r>
        <w:fldChar w:fldCharType="begin"/>
      </w:r>
      <w:r>
        <w:instrText xml:space="preserve"> XE "Justin" \f "Persons"</w:instrText>
      </w:r>
      <w:r>
        <w:fldChar w:fldCharType="end"/>
      </w:r>
      <w:r>
        <w:t xml:space="preserve"> is less well understood by Baronius</w:t>
      </w:r>
      <w:r>
        <w:fldChar w:fldCharType="begin"/>
      </w:r>
      <w:r>
        <w:instrText xml:space="preserve"> XE "Baronius" \f "Persons"</w:instrText>
      </w:r>
      <w:r>
        <w:fldChar w:fldCharType="end"/>
      </w:r>
      <w:r>
        <w:t xml:space="preserve"> and Casaubon. II. It seems to be about the curious inquiry into the future. III. The story told by Justin about Simon's statue and how it came under suspicion. IV. Justin does not seem to have been mistaken. V. Or at least he would not have been one to correct an error.</w:t>
      </w:r>
    </w:p>
    <w:p w14:paraId="3AB4DC47" w14:textId="77777777" w:rsidR="005C2B3E" w:rsidRDefault="00000000">
      <w:r>
        <w:t>I. It is fitting at this point to examine whether it was decreed by the pagan emperors that no Christian should read the books of Hystaspes, the Sibyl, or the Prophets. For Baronius</w:t>
      </w:r>
      <w:r>
        <w:fldChar w:fldCharType="begin"/>
      </w:r>
      <w:r>
        <w:instrText xml:space="preserve"> XE "Baronius" \f "Persons"</w:instrText>
      </w:r>
      <w:r>
        <w:fldChar w:fldCharType="end"/>
      </w:r>
      <w:r>
        <w:t xml:space="preserve"> draws this from these words of St</w:t>
      </w:r>
      <w:r>
        <w:fldChar w:fldCharType="begin"/>
      </w:r>
      <w:r>
        <w:instrText xml:space="preserve"> XE "St" \f "Persons"</w:instrText>
      </w:r>
      <w:r>
        <w:fldChar w:fldCharType="end"/>
      </w:r>
      <w:r>
        <w:t xml:space="preserve">. Justin, </w:t>
      </w:r>
      <w:r>
        <w:rPr>
          <w:i/>
        </w:rPr>
        <w:t>Apology</w:t>
      </w:r>
      <w:r>
        <w:t xml:space="preserve"> i, no. 44: Κατʼ ἐνέργειαν δὲ τῶν φαύλων δαιμόνων θάνατος ὡρίσθη κατὰ τῶν τὰς Ὑστάσπου, ἢ Σιβύλλης, ἢ τῶν Τροφητῶν βίβλους ἀναγινωσκόντων, ὅπως διὰ τοῦ φόβου ἀποστρέψωσιν ἐντυγχάνοντας τοὺς ἀνθρώπους τῶν καλῶν γνῶσιν λαβεῖν, αὐτοῖς δὲ δουλεύοντας κατέχωσιν· ὅπερ εἰς τέλος οὐκ ἵσχυσαν πρᾶξαι. Ἀφόβως γὰρ οὐ μόνον ἐντυγχάνομεν αὐταῖς, ἀλλὰ καὶ ὑμῖν, ὡς ὁρᾶτε, εἰς ἐπίσκεψιν φέρομεν, ἐπιστάμενοι πᾶσιν εὐάρεστα φανήσεσθαι. “By the operation of evil demons, death was decreed against those who read the books of Hystaspes, or the Sibyl, or the Prophets; so that by fear they might turn away men who encounter these from gaining knowledge of good things, and hold them as slaves to themselves; which indeed they were not able to accomplish forever. For we encounter these not only fearlessly, but also offer them to you, as you see, for inspection, knowing that they will appear pleasing to all.”</w:t>
      </w:r>
    </w:p>
    <w:p w14:paraId="47737552" w14:textId="77777777" w:rsidR="005C2B3E" w:rsidRDefault="00000000">
      <w:pPr>
        <w:ind w:firstLine="360"/>
      </w:pPr>
      <w:r>
        <w:t>The words of the holy martyr gave rise to this observation of Baronius</w:t>
      </w:r>
      <w:r>
        <w:fldChar w:fldCharType="begin"/>
      </w:r>
      <w:r>
        <w:instrText xml:space="preserve"> XE "Baronius" \f "Persons"</w:instrText>
      </w:r>
      <w:r>
        <w:fldChar w:fldCharType="end"/>
      </w:r>
      <w:r>
        <w:t xml:space="preserve">: “How often,” he says, </w:t>
      </w:r>
      <w:r>
        <w:rPr>
          <w:i/>
        </w:rPr>
        <w:t>Apparat. ad Annal</w:t>
      </w:r>
      <w:r>
        <w:t>, no. 20, “Christians have been involved in reading the Sibylline books, and how much they have tried to gain power and authority from them to refute the Gentiles, can be easily understood from the fact that it was necessary to deter them by laws with the penalty of death from reading them: which Justin</w:t>
      </w:r>
      <w:r>
        <w:fldChar w:fldCharType="begin"/>
      </w:r>
      <w:r>
        <w:instrText xml:space="preserve"> XE "Justin" \f "Persons"</w:instrText>
      </w:r>
      <w:r>
        <w:fldChar w:fldCharType="end"/>
      </w:r>
      <w:r>
        <w:t xml:space="preserve"> the martyr</w:t>
      </w:r>
      <w:r>
        <w:fldChar w:fldCharType="begin"/>
      </w:r>
      <w:r>
        <w:instrText xml:space="preserve"> XE "Justin the martyr" \f "Persons"</w:instrText>
      </w:r>
      <w:r>
        <w:fldChar w:fldCharType="end"/>
      </w:r>
      <w:r>
        <w:t xml:space="preserve"> attests to in these words.” Casaubon challenges this opinion of Baronius in exercise 11, and denies that this prohibition properly applied to Christians. “But that Justin joins the books of the Prophets and the Sibylline, the pious martyr did so because having found certain prophecies of the Sibyls, true or false, about Christ, he thought the whole volume of Sibylline poetry, which was so carefully kept in Rome and from whose reading all were barred except the Fifteen Men, was of the same subject.”</w:t>
      </w:r>
    </w:p>
    <w:p w14:paraId="3368A95A" w14:textId="77777777" w:rsidR="005C2B3E" w:rsidRDefault="00000000">
      <w:pPr>
        <w:ind w:firstLine="360"/>
      </w:pPr>
      <w:r>
        <w:t>While Casaubon refutes one error in Baronius</w:t>
      </w:r>
      <w:r>
        <w:fldChar w:fldCharType="begin"/>
      </w:r>
      <w:r>
        <w:instrText xml:space="preserve"> XE "Baronius" \f "Persons"</w:instrText>
      </w:r>
      <w:r>
        <w:fldChar w:fldCharType="end"/>
      </w:r>
      <w:r>
        <w:t>, he adds several others to Justin</w:t>
      </w:r>
      <w:r>
        <w:fldChar w:fldCharType="begin"/>
      </w:r>
      <w:r>
        <w:instrText xml:space="preserve"> XE "Justin" \f "Persons"</w:instrText>
      </w:r>
      <w:r>
        <w:fldChar w:fldCharType="end"/>
      </w:r>
      <w:r>
        <w:t xml:space="preserve">. Certainly, Baronius’s opinion cannot stand, nor does any trace exist of that law which he thinks was specifically made for Christians. The words of the holy martyr mean </w:t>
      </w:r>
      <w:r>
        <w:lastRenderedPageBreak/>
        <w:t>something quite different, who, while proposing the oracles of the prophets for the emperor’s consideration, confidently believed he would do a favor to him and to all others, and would not have thought that death was decreed for Christians reading these oracles. For how, if such a harsh law had been made against Christians, would Justin have hoped to gain favor by breaking it? Then Justin says that the demons devised that law with the purpose of turning people away from knowledge of good things and keeping them as their servants. So that law was not aimed so much at Christians as at those who were still enslaved by demons. Finally, from the testimony of Emperor Aurelian, which we will now relate, it is clear that the pagans judged Christians in such a way that they considered the Sibylline poem hateful to them, much less did they see the efforts of Christians to read this book as needing to be controlled by laws. And this is what we say about Baronius’s opinion.</w:t>
      </w:r>
    </w:p>
    <w:p w14:paraId="51359E03" w14:textId="77777777" w:rsidR="005C2B3E" w:rsidRDefault="00000000">
      <w:pPr>
        <w:ind w:firstLine="360"/>
      </w:pPr>
      <w:r>
        <w:t>But did Casaubon, the critic of Baronius</w:t>
      </w:r>
      <w:r>
        <w:fldChar w:fldCharType="begin"/>
      </w:r>
      <w:r>
        <w:instrText xml:space="preserve"> XE "Baronius" \f "Persons"</w:instrText>
      </w:r>
      <w:r>
        <w:fldChar w:fldCharType="end"/>
      </w:r>
      <w:r>
        <w:t>, see more clearly in explaining Justin</w:t>
      </w:r>
      <w:r>
        <w:fldChar w:fldCharType="begin"/>
      </w:r>
      <w:r>
        <w:instrText xml:space="preserve"> XE "Justin" \f "Persons"</w:instrText>
      </w:r>
      <w:r>
        <w:fldChar w:fldCharType="end"/>
      </w:r>
      <w:r>
        <w:t>? If we listen to him, the holy martyr believed that the Sibylline books, which were kept by the Fifteen Men, were of the same subject as those attributed to the Sibyl in the second century; he did not know that these books were usually consulted by the consul for ways to appease the gods; he imagined that they spoke very clearly about the Word of God the Son, his Incarnation, miracles, death, and resurrection; and for this reason, he thought that the penalty set for reading the Sibylline poem also applied to reading the Prophets themselves. This is certainly a great error and hardly believable. But here is another no less serious. For it is necessary that this similarity of subject, which he thought existed between the books kept in Rome and others openly speaking about Christ and even the prophets themselves, was so well known to everyone that the reading of all of these was forbidden under the same penalty. Besides, if Justin was led into this error, how could he have thought that what was forbidden and hated only because of them would be pleasing to Christians alone?</w:t>
      </w:r>
    </w:p>
    <w:p w14:paraId="10FBBB66" w14:textId="77777777" w:rsidR="005C2B3E" w:rsidRDefault="00000000">
      <w:pPr>
        <w:ind w:firstLine="360"/>
      </w:pPr>
      <w:r>
        <w:t>II. Therefore, another explanation of this passage must be sought, but not far to seek. I would like only two things to be noted in the words of Justin</w:t>
      </w:r>
      <w:r>
        <w:fldChar w:fldCharType="begin"/>
      </w:r>
      <w:r>
        <w:instrText xml:space="preserve"> XE "Justin" \f "Persons"</w:instrText>
      </w:r>
      <w:r>
        <w:fldChar w:fldCharType="end"/>
      </w:r>
      <w:r>
        <w:t>. That capital punishment deterred the pagans from reading the books of Hystaspes, the Sibyl, and the Prophets; but it moved Christians so little that they openly showed themselves devoted to reading these books, and they trusted that no one would take offense at their bringing forward the oracles of the prophets. What then was that law, so feared by the pagans, but harming Christians not at all? Certainly, no other law seems assignable except the one that forbade curious inquiry into the future. For this was a very serious crime at that time, and it seemed to mean studying new things and plotting wicked plans if anyone sought answers about the emperor’s safety. Hence Tertullian</w:t>
      </w:r>
      <w:r>
        <w:fldChar w:fldCharType="begin"/>
      </w:r>
      <w:r>
        <w:instrText xml:space="preserve"> XE "Tertullian" \f "Persons"</w:instrText>
      </w:r>
      <w:r>
        <w:fldChar w:fldCharType="end"/>
      </w:r>
      <w:r>
        <w:t xml:space="preserve">, </w:t>
      </w:r>
      <w:r>
        <w:rPr>
          <w:i/>
        </w:rPr>
        <w:t>Apology</w:t>
      </w:r>
      <w:r>
        <w:t xml:space="preserve"> 35, to prove that Christians were wrongly called public enemies, “because they do not pay honors to emperors that are vain, false, or rash,” notes that those who show great zeal in bringing such matters to Caesar often have a mind </w:t>
      </w:r>
      <w:r>
        <w:lastRenderedPageBreak/>
        <w:t>unfriendly to Caesar and consult astrologers about his safety, a suspicion that does not fall on Christians. “The same duties,” he says, “depend on those who consult astrologers, augurs, soothsayers, and magicians about the fate of the Caesars, which arts Christians do not use even for their own causes, since they were betrayed by angels who deserted and forbidden by God.” Lucian</w:t>
      </w:r>
      <w:r>
        <w:fldChar w:fldCharType="begin"/>
      </w:r>
      <w:r>
        <w:instrText xml:space="preserve"> XE "Lucian" \f "Persons"</w:instrText>
      </w:r>
      <w:r>
        <w:fldChar w:fldCharType="end"/>
      </w:r>
      <w:r>
        <w:t xml:space="preserve"> reports in </w:t>
      </w:r>
      <w:r>
        <w:rPr>
          <w:i/>
        </w:rPr>
        <w:t>Alexander</w:t>
      </w:r>
      <w:r>
        <w:t xml:space="preserve"> the clever trick of this man, who, when asked everywhere through little books, if any of the rich consulted about matters of great importance, did not return their books but kept them with himself, so that when they understood they were caught and bound, they would redeem the danger into which they had foolishly thrown themselves with large gifts.</w:t>
      </w:r>
    </w:p>
    <w:p w14:paraId="2450F785" w14:textId="77777777" w:rsidR="005C2B3E" w:rsidRDefault="00000000">
      <w:pPr>
        <w:ind w:firstLine="360"/>
      </w:pPr>
      <w:r>
        <w:t>Therefore, it was decreed by law that no one should inquire about matters concerning the emperor or the republic’s future, nor should they read books in which the future is predicted. Justin</w:t>
      </w:r>
      <w:r>
        <w:fldChar w:fldCharType="begin"/>
      </w:r>
      <w:r>
        <w:instrText xml:space="preserve"> XE "Justin" \f "Persons"</w:instrText>
      </w:r>
      <w:r>
        <w:fldChar w:fldCharType="end"/>
      </w:r>
      <w:r>
        <w:t xml:space="preserve"> believed this law was established by the cunning and craft of demons, namely to deter people from reading the Prophets: his own experience could teach him that many were held back by this fear from daring to touch the writings of the prophets. But the cause was different for Christians. It was known to all that they detested anything related to augury and divination, and they considered consulting demons a great sin; nor did they bring forward the prophets in matters concerning the administration of the republic, but in those concerning eternal salvation; not to curiously learn the future, but rather to show what had been foreseen and predicted many centuries before about Jesus Christ and the Christians. With people thus minded, there was nothing for the emperors to fear: they could freely read the books of the Sibyl, Hystaspes, and the Prophets without harm; there was no suspicion that they sought to inquire about the future events of the republic from them; and Aurelian</w:t>
      </w:r>
      <w:r>
        <w:fldChar w:fldCharType="begin"/>
      </w:r>
      <w:r>
        <w:instrText xml:space="preserve"> XE "Aurelian" \f "Persons"</w:instrText>
      </w:r>
      <w:r>
        <w:fldChar w:fldCharType="end"/>
      </w:r>
      <w:r>
        <w:t xml:space="preserve"> said quite cleverly in a letter to the senate, which Vopiscus</w:t>
      </w:r>
      <w:r>
        <w:fldChar w:fldCharType="begin"/>
      </w:r>
      <w:r>
        <w:instrText xml:space="preserve"> XE "Vopiscus" \f "Persons"</w:instrText>
      </w:r>
      <w:r>
        <w:fldChar w:fldCharType="end"/>
      </w:r>
      <w:r>
        <w:t xml:space="preserve"> has handed down to us: “I wonder, holy Fathers, why you have doubted for so long about opening the Sibylline books, as if you were dealing with the Christian church, not the temple of all the gods.” It is therefore no wonder if the pagans could not read the writings of the prophets and similar books without danger; but Christians read them without suspicion; and by showing that the predicted things had come to pass, they stirred grateful admiration in people’s minds.</w:t>
      </w:r>
    </w:p>
    <w:p w14:paraId="51347D63" w14:textId="77777777" w:rsidR="005C2B3E" w:rsidRDefault="00000000">
      <w:pPr>
        <w:ind w:firstLine="360"/>
      </w:pPr>
      <w:r>
        <w:t>III. They gave material for no small controversy, what Justin</w:t>
      </w:r>
      <w:r>
        <w:fldChar w:fldCharType="begin"/>
      </w:r>
      <w:r>
        <w:instrText xml:space="preserve"> XE "Justin" \f "Persons"</w:instrText>
      </w:r>
      <w:r>
        <w:fldChar w:fldCharType="end"/>
      </w:r>
      <w:r>
        <w:t xml:space="preserve"> says in the same </w:t>
      </w:r>
      <w:r>
        <w:rPr>
          <w:i/>
        </w:rPr>
        <w:t>Apology</w:t>
      </w:r>
      <w:r>
        <w:t xml:space="preserve"> about the statue erected to Simon Magus. Thus, in number 26: “Demons sent a certain Simon, a Samaritan from the village called Gitta, who under Emperor Claudius, having performed magical miracles by the art of demons working in him, was considered a god in your royal city of Rome and was honored by you as a god with a statue: which statue was erected on the Tiber Island between two bridges, bearing this Roman inscription: </w:t>
      </w:r>
      <w:r>
        <w:rPr>
          <w:i/>
        </w:rPr>
        <w:t>To Simon the holy god</w:t>
      </w:r>
      <w:r>
        <w:t xml:space="preserve">.” And in number 56: “Demons sent Simon and Menander, Samaritans, who by performing magical miracles deceived many and still hold those deceived. For when Simon was present among you in the </w:t>
      </w:r>
      <w:r>
        <w:lastRenderedPageBreak/>
        <w:t>royal city of Rome, as I have already said, under Emperor Claudius, he struck the sacred senate and the Roman people with such admiration that he was thought to be a god, and a statue was given to him like to others who are worshiped by you as gods. Therefore, we pray that you, together with the sacred senate and the Roman people, accept the knowledge of this our supplicating little book, so that if anyone is involved in his teaching, having known the truth, he may escape error; and if it pleases you, cast down the statue.”</w:t>
      </w:r>
    </w:p>
    <w:p w14:paraId="65BB1129" w14:textId="77777777" w:rsidR="005C2B3E" w:rsidRDefault="00000000">
      <w:pPr>
        <w:ind w:firstLine="360"/>
      </w:pPr>
      <w:r>
        <w:t>The story told by Justin</w:t>
      </w:r>
      <w:r>
        <w:fldChar w:fldCharType="begin"/>
      </w:r>
      <w:r>
        <w:instrText xml:space="preserve"> XE "Justin" \f "Persons"</w:instrText>
      </w:r>
      <w:r>
        <w:fldChar w:fldCharType="end"/>
      </w:r>
      <w:r>
        <w:t xml:space="preserve"> had always been held in esteem and honor, and its weight was increased by the testimonies of Tertullian</w:t>
      </w:r>
      <w:r>
        <w:fldChar w:fldCharType="begin"/>
      </w:r>
      <w:r>
        <w:instrText xml:space="preserve"> XE "Tertullian" \f "Persons"</w:instrText>
      </w:r>
      <w:r>
        <w:fldChar w:fldCharType="end"/>
      </w:r>
      <w:r>
        <w:t>, Eusebius</w:t>
      </w:r>
      <w:r>
        <w:fldChar w:fldCharType="begin"/>
      </w:r>
      <w:r>
        <w:instrText xml:space="preserve"> XE "Eusebius" \f "Persons"</w:instrText>
      </w:r>
      <w:r>
        <w:fldChar w:fldCharType="end"/>
      </w:r>
      <w:r>
        <w:t>, Cyril of Jerusalem</w:t>
      </w:r>
      <w:r>
        <w:fldChar w:fldCharType="begin"/>
      </w:r>
      <w:r>
        <w:instrText xml:space="preserve"> XE "Cyril of Jerusalem" \f "Persons"</w:instrText>
      </w:r>
      <w:r>
        <w:fldChar w:fldCharType="end"/>
      </w:r>
      <w:r>
        <w:t>, Augustine</w:t>
      </w:r>
      <w:r>
        <w:fldChar w:fldCharType="begin"/>
      </w:r>
      <w:r>
        <w:instrText xml:space="preserve"> XE "Augustine" \f "Persons"</w:instrText>
      </w:r>
      <w:r>
        <w:fldChar w:fldCharType="end"/>
      </w:r>
      <w:r>
        <w:t>, and Theodoret</w:t>
      </w:r>
      <w:r>
        <w:fldChar w:fldCharType="begin"/>
      </w:r>
      <w:r>
        <w:instrText xml:space="preserve"> XE "Theodoret" \f "Persons"</w:instrText>
      </w:r>
      <w:r>
        <w:fldChar w:fldCharType="end"/>
      </w:r>
      <w:r>
        <w:t>, who all confirm the same, until certain statue found under Gregory</w:t>
      </w:r>
      <w:r>
        <w:fldChar w:fldCharType="begin"/>
      </w:r>
      <w:r>
        <w:instrText xml:space="preserve"> XE "Gregory" \f "Persons"</w:instrText>
      </w:r>
      <w:r>
        <w:fldChar w:fldCharType="end"/>
      </w:r>
      <w:r>
        <w:t xml:space="preserve"> XIII diminished its credibility and authority among many scholars. “About five years ago,” says Baronius in the year 44 of his chronicle, under Pope Gregory XIII, “a stone was dug up from the ruins on the same Tiber Island, marked with this inscription:”</w:t>
      </w:r>
    </w:p>
    <w:p w14:paraId="548E35B3" w14:textId="77777777" w:rsidR="005C2B3E" w:rsidRDefault="00000000">
      <w:pPr>
        <w:spacing w:before="180" w:after="0"/>
        <w:ind w:left="720" w:right="320" w:hanging="360"/>
      </w:pPr>
      <w:r>
        <w:t>To Semon Sango, faithful god, sacred. Sextus Pompeius</w:t>
      </w:r>
      <w:r>
        <w:fldChar w:fldCharType="begin"/>
      </w:r>
      <w:r>
        <w:instrText xml:space="preserve"> XE "Pompeius" \f "Persons"</w:instrText>
      </w:r>
      <w:r>
        <w:fldChar w:fldCharType="end"/>
      </w:r>
      <w:r>
        <w:t xml:space="preserve"> S. P. E. of the colony Mussianus, quinquennial decurion bidentalis, gave this gift.</w:t>
      </w:r>
    </w:p>
    <w:p w14:paraId="6EAEEBC4" w14:textId="77777777" w:rsidR="005C2B3E" w:rsidRDefault="00000000">
      <w:r>
        <w:t>The stone itself shows the base on which the statue had been placed, but it is small: for although it is very grand, it does not seem capable of holding a statue similar to a human figure.” There is some similarity of names between this inscription and the one reported by Justin</w:t>
      </w:r>
      <w:r>
        <w:fldChar w:fldCharType="begin"/>
      </w:r>
      <w:r>
        <w:instrText xml:space="preserve"> XE "Justin" \f "Persons"</w:instrText>
      </w:r>
      <w:r>
        <w:fldChar w:fldCharType="end"/>
      </w:r>
      <w:r>
        <w:t>; the location also matches: for the statue of Semon Sango god was found on the Tiber Island, where Justin says Simon was consecrated as a holy god. From this arose in many scholars not only suspicion but also a strong belief that Justin had been deceived by ignorance of Latin, and that Simon the holy god was made up from Semon Sango god. But on the other hand, other notable critics, especially Tillemont, object, and it is hard not to agree with their arguments.</w:t>
      </w:r>
    </w:p>
    <w:p w14:paraId="4797B2F1" w14:textId="77777777" w:rsidR="005C2B3E" w:rsidRDefault="00000000">
      <w:pPr>
        <w:ind w:firstLine="360"/>
      </w:pPr>
      <w:r>
        <w:t>IV. Those who want to prove that Justin</w:t>
      </w:r>
      <w:r>
        <w:fldChar w:fldCharType="begin"/>
      </w:r>
      <w:r>
        <w:instrText xml:space="preserve"> XE "Justin" \f "Persons"</w:instrText>
      </w:r>
      <w:r>
        <w:fldChar w:fldCharType="end"/>
      </w:r>
      <w:r>
        <w:t xml:space="preserve"> made a mistake rely entirely on a single argument, namely the similarity of names. It is of very little importance, as Valesius</w:t>
      </w:r>
      <w:r>
        <w:fldChar w:fldCharType="begin"/>
      </w:r>
      <w:r>
        <w:instrText xml:space="preserve"> XE "Valesius" \f "Persons"</w:instrText>
      </w:r>
      <w:r>
        <w:fldChar w:fldCharType="end"/>
      </w:r>
      <w:r>
        <w:t xml:space="preserve"> objects (note in Eusebius</w:t>
      </w:r>
      <w:r>
        <w:fldChar w:fldCharType="begin"/>
      </w:r>
      <w:r>
        <w:instrText xml:space="preserve"> XE "Eusebius" \f "Persons"</w:instrText>
      </w:r>
      <w:r>
        <w:fldChar w:fldCharType="end"/>
      </w:r>
      <w:r>
        <w:t>, book ii), that the Romans did not usually grant divinity to living men or call gods “holy.” To omit the examples of men being called gods before death, such as Neryllinus in Athenagoras, number 26, it is enough to remember that Claudius</w:t>
      </w:r>
      <w:r>
        <w:fldChar w:fldCharType="begin"/>
      </w:r>
      <w:r>
        <w:instrText xml:space="preserve"> XE "Claudius" \f "Persons"</w:instrText>
      </w:r>
      <w:r>
        <w:fldChar w:fldCharType="end"/>
      </w:r>
      <w:r>
        <w:t xml:space="preserve"> was ruling at the time, under whose reign nothing so absurd was impossible to be obtained and accomplished. The Samaritans had consecrated Simon, and by their support the god had come to Rome, and it is not surprising if he received the same honors there, </w:t>
      </w:r>
      <w:r>
        <w:rPr>
          <w:i/>
        </w:rPr>
        <w:t>where</w:t>
      </w:r>
      <w:r>
        <w:t>, as Tacitus</w:t>
      </w:r>
      <w:r>
        <w:fldChar w:fldCharType="begin"/>
      </w:r>
      <w:r>
        <w:instrText xml:space="preserve"> XE "Tacitus" \f "Persons"</w:instrText>
      </w:r>
      <w:r>
        <w:fldChar w:fldCharType="end"/>
      </w:r>
      <w:r>
        <w:t xml:space="preserve"> says, </w:t>
      </w:r>
      <w:r>
        <w:rPr>
          <w:i/>
        </w:rPr>
        <w:t>all sorts of horrible or shameful things flow together and are celebrated</w:t>
      </w:r>
      <w:r>
        <w:t xml:space="preserve">. Tillemont notes that the title “holy” was given to gods in several inscriptions found by Gruter. Therefore, there is no reason to press Justin except for the similarity between the inscription he mentions and the one found many centuries later. But the two differ in many ways. The name Simon could indeed be confused with Semon: but neither could Semon Sango god Fidius be taken for Simon the holy god by </w:t>
      </w:r>
      <w:r>
        <w:lastRenderedPageBreak/>
        <w:t>a man skilled in reading, nor could Sextus</w:t>
      </w:r>
      <w:r>
        <w:fldChar w:fldCharType="begin"/>
      </w:r>
      <w:r>
        <w:instrText xml:space="preserve"> XE "Sextus" \f "Persons"</w:instrText>
      </w:r>
      <w:r>
        <w:fldChar w:fldCharType="end"/>
      </w:r>
      <w:r>
        <w:t xml:space="preserve"> P</w:t>
      </w:r>
      <w:r>
        <w:fldChar w:fldCharType="begin"/>
      </w:r>
      <w:r>
        <w:instrText xml:space="preserve"> XE "P" \f "Persons"</w:instrText>
      </w:r>
      <w:r>
        <w:fldChar w:fldCharType="end"/>
      </w:r>
      <w:r>
        <w:t>ompeius S</w:t>
      </w:r>
      <w:r>
        <w:fldChar w:fldCharType="begin"/>
      </w:r>
      <w:r>
        <w:instrText xml:space="preserve"> XE "Pompeius S" \f "Persons"</w:instrText>
      </w:r>
      <w:r>
        <w:fldChar w:fldCharType="end"/>
      </w:r>
      <w:r>
        <w:t>. P. E, of the colony Mussianus, etc, be mistaken for the emperor and senate, nor could the image of the god Sango be taken for the image of Simon by the one who saw the latter in Samaria.</w:t>
      </w:r>
    </w:p>
    <w:p w14:paraId="21B8A164" w14:textId="77777777" w:rsidR="005C2B3E" w:rsidRDefault="00000000">
      <w:pPr>
        <w:ind w:firstLine="360"/>
      </w:pPr>
      <w:r>
        <w:t>Moreover, it must be noted that Justin</w:t>
      </w:r>
      <w:r>
        <w:fldChar w:fldCharType="begin"/>
      </w:r>
      <w:r>
        <w:instrText xml:space="preserve"> XE "Justin" \f "Persons"</w:instrText>
      </w:r>
      <w:r>
        <w:fldChar w:fldCharType="end"/>
      </w:r>
      <w:r>
        <w:t xml:space="preserve"> did not rashly and thoughtlessly demand from the emperor that this statue of Simon the Magus be removed. For great danger threatened the petitioner from the Samaritans, and he himself, in the </w:t>
      </w:r>
      <w:r>
        <w:rPr>
          <w:i/>
        </w:rPr>
        <w:t>Dialogue</w:t>
      </w:r>
      <w:r>
        <w:t xml:space="preserve">, number 120, to prove that his only concern was to tell the truth, says </w:t>
      </w:r>
      <w:r>
        <w:rPr>
          <w:i/>
        </w:rPr>
        <w:t>even if it must be torn from its place;</w:t>
      </w:r>
      <w:r>
        <w:t xml:space="preserve"> he gives an example of a fearless spirit when, addressing Caesar in a written </w:t>
      </w:r>
      <w:r>
        <w:rPr>
          <w:i/>
        </w:rPr>
        <w:t>Acta</w:t>
      </w:r>
      <w:r>
        <w:t xml:space="preserve">, he said that the Samaritans </w:t>
      </w:r>
      <w:r>
        <w:rPr>
          <w:i/>
        </w:rPr>
        <w:t>are deceived by error, as those who trust Simon their nation's Magus, whom they say is a god above all rule and power and might.</w:t>
      </w:r>
      <w:r>
        <w:t xml:space="preserve"> If Justin did not undertake this without considering and weighing the danger he had to fear from the Samaritans, there is little doubt that it was a certain and well-investigated matter for him. Indeed, he asks the emperor to bring in the senate and people who know about this matter and to have the statue thrown down. The Samaritans themselves seem to have known the statue and valued it highly. For their fury was to be feared in this, because the removal of the statue could not have been hidden from them if Justin had succeeded in having it removed. But it was difficult for what Justin wrote about Simon in passing to come to their knowledge.</w:t>
      </w:r>
    </w:p>
    <w:p w14:paraId="43144B00" w14:textId="77777777" w:rsidR="005C2B3E" w:rsidRDefault="00000000">
      <w:pPr>
        <w:ind w:firstLine="360"/>
      </w:pPr>
      <w:r>
        <w:t>V. Even if Justin</w:t>
      </w:r>
      <w:r>
        <w:fldChar w:fldCharType="begin"/>
      </w:r>
      <w:r>
        <w:instrText xml:space="preserve"> XE "Justin" \f "Persons"</w:instrText>
      </w:r>
      <w:r>
        <w:fldChar w:fldCharType="end"/>
      </w:r>
      <w:r>
        <w:t xml:space="preserve"> had been mistaken in this matter, he at least should have admitted the error, either on his own when, walking through the city, he found several other statues of Semon Sango (for it is certain that there were many in Rome), or warned by friends, or corrected by enemies. His first </w:t>
      </w:r>
      <w:r>
        <w:rPr>
          <w:i/>
        </w:rPr>
        <w:t>Apology</w:t>
      </w:r>
      <w:r>
        <w:t xml:space="preserve"> had fame and wide circulation. How then could so notable a mistake, so suitable to catch the eye, have remained hidden, so that in the </w:t>
      </w:r>
      <w:r>
        <w:rPr>
          <w:i/>
        </w:rPr>
        <w:t>Dialogue</w:t>
      </w:r>
      <w:r>
        <w:t xml:space="preserve"> and in the second </w:t>
      </w:r>
      <w:r>
        <w:rPr>
          <w:i/>
        </w:rPr>
        <w:t>Apology</w:t>
      </w:r>
      <w:r>
        <w:t xml:space="preserve"> he confidently and safely confirmed what he had said in the first? He was accustomed to fight for the Christian religion among learned men. Why then was no one avenging the blows he received, not even Crescens, whom he declares broken and convicted by himself, </w:t>
      </w:r>
      <w:r>
        <w:rPr>
          <w:i/>
        </w:rPr>
        <w:t>Apol.</w:t>
      </w:r>
      <w:r>
        <w:t xml:space="preserve"> 2, number 3? How could so many respected writers, who said the same as Justin, have not sensed the error? Indeed, as Tillemont notes, what St. Augustine and Theodoret</w:t>
      </w:r>
      <w:r>
        <w:fldChar w:fldCharType="begin"/>
      </w:r>
      <w:r>
        <w:instrText xml:space="preserve"> XE "Theodoret" \f "Persons"</w:instrText>
      </w:r>
      <w:r>
        <w:fldChar w:fldCharType="end"/>
      </w:r>
      <w:r>
        <w:t xml:space="preserve"> said about this statue, whose source was not Justin, confirms this. The former testifies that it had been erected for Simon and Helena, the latter that it was made of bronze, neither of which Justin said. These reasons, which in large part Baronius</w:t>
      </w:r>
      <w:r>
        <w:fldChar w:fldCharType="begin"/>
      </w:r>
      <w:r>
        <w:instrText xml:space="preserve"> XE "Baronius" \f "Persons"</w:instrText>
      </w:r>
      <w:r>
        <w:fldChar w:fldCharType="end"/>
      </w:r>
      <w:r>
        <w:t xml:space="preserve"> and Tillemont supplied, hold me back from thinking that what other learned men have confidently declared is more than an uncertain guess.</w:t>
      </w:r>
    </w:p>
    <w:p w14:paraId="7C8E1863" w14:textId="77777777" w:rsidR="005C2B3E" w:rsidRDefault="00000000">
      <w:pPr>
        <w:pStyle w:val="Heading3"/>
      </w:pPr>
      <w:r>
        <w:lastRenderedPageBreak/>
        <w:t>CHAPTER 7</w:t>
      </w:r>
    </w:p>
    <w:p w14:paraId="724A828D" w14:textId="77777777" w:rsidR="005C2B3E" w:rsidRDefault="00000000">
      <w:pPr>
        <w:pStyle w:val="Heading4"/>
      </w:pPr>
      <w:r>
        <w:t>ON THE DIALOGUE WITH TRYPHO</w:t>
      </w:r>
    </w:p>
    <w:p w14:paraId="2F7F4D57" w14:textId="77777777" w:rsidR="005C2B3E" w:rsidRDefault="00000000">
      <w:pPr>
        <w:spacing w:before="180" w:after="0"/>
        <w:ind w:left="720" w:right="320" w:hanging="360"/>
      </w:pPr>
      <w:r>
        <w:t>On Justin’s travels. II. The occasion of the Dialogue, which he held in Ephesus for two days with Trypho and his companions. III. An inquiry into when this happened. IV. Some observations on Trypho and his companions, and on Justin’s method of disputation. V. An examination of whether the end of the first day and the beginning of the second in the Dialogue are incomplete.</w:t>
      </w:r>
    </w:p>
    <w:p w14:paraId="41C6CEA8" w14:textId="77777777" w:rsidR="005C2B3E" w:rsidRDefault="00000000">
      <w:r>
        <w:t>I. What Eusebius</w:t>
      </w:r>
      <w:r>
        <w:fldChar w:fldCharType="begin"/>
      </w:r>
      <w:r>
        <w:instrText xml:space="preserve"> XE "Eusebius" \f "Persons"</w:instrText>
      </w:r>
      <w:r>
        <w:fldChar w:fldCharType="end"/>
      </w:r>
      <w:r>
        <w:t xml:space="preserve"> says in book iv, chapter 11, that Justin had a residence in Rome, should not be understood as if Justin spent his whole life in that city. For he seems to have been away for a long time after presenting his </w:t>
      </w:r>
      <w:r>
        <w:rPr>
          <w:i/>
        </w:rPr>
        <w:t>Apology</w:t>
      </w:r>
      <w:r>
        <w:t xml:space="preserve"> to the emperor and to have stayed in other regions. For he says in the </w:t>
      </w:r>
      <w:r>
        <w:rPr>
          <w:i/>
        </w:rPr>
        <w:t>Acts of the Martyrdom</w:t>
      </w:r>
      <w:r>
        <w:t>: “But I came to the city of Rome a second time:” ἐπεδήμησα δὲ τῇ Ῥωμαίων πόλει τοῦτο δεύτερον. By these words, he shows that he returned after a long interval; for if he had left only for a short time, the continuity of his stay would not have been broken. What causes drew the holy martyr to the provinces, and what he did while absent, we can judge from his activities in the city itself.</w:t>
      </w:r>
    </w:p>
    <w:p w14:paraId="02F2EAE3" w14:textId="77777777" w:rsidR="005C2B3E" w:rsidRDefault="00000000">
      <w:pPr>
        <w:ind w:firstLine="360"/>
      </w:pPr>
      <w:r>
        <w:t>Tillemont thinks that Justin</w:t>
      </w:r>
      <w:r>
        <w:fldChar w:fldCharType="begin"/>
      </w:r>
      <w:r>
        <w:instrText xml:space="preserve"> XE "Justin" \f "Persons"</w:instrText>
      </w:r>
      <w:r>
        <w:fldChar w:fldCharType="end"/>
      </w:r>
      <w:r>
        <w:t xml:space="preserve"> imitated those outstanding disciples of the apostles, whom Eusebius</w:t>
      </w:r>
      <w:r>
        <w:fldChar w:fldCharType="begin"/>
      </w:r>
      <w:r>
        <w:instrText xml:space="preserve"> XE "Eusebius" \f "Persons"</w:instrText>
      </w:r>
      <w:r>
        <w:fldChar w:fldCharType="end"/>
      </w:r>
      <w:r>
        <w:t xml:space="preserve"> reports carried out the work of the evangelists in various regions—partly by preaching the Gospel to those who had not yet heard it, partly by visiting the churches founded by the apostles to strengthen them in faith and truth. Before Justin, Quadratus</w:t>
      </w:r>
      <w:r>
        <w:fldChar w:fldCharType="begin"/>
      </w:r>
      <w:r>
        <w:instrText xml:space="preserve"> XE "Quadratus" \f "Persons"</w:instrText>
      </w:r>
      <w:r>
        <w:fldChar w:fldCharType="end"/>
      </w:r>
      <w:r>
        <w:t xml:space="preserve"> had striven in this kind of praise; after Justin, however, many such evangelists appeared, according to Eusebius in book v, chapter 10, among whom the notable were Pantænus</w:t>
      </w:r>
      <w:r>
        <w:fldChar w:fldCharType="begin"/>
      </w:r>
      <w:r>
        <w:instrText xml:space="preserve"> XE "Pantænus" \f "Persons"</w:instrText>
      </w:r>
      <w:r>
        <w:fldChar w:fldCharType="end"/>
      </w:r>
      <w:r>
        <w:t xml:space="preserve"> and, at the start of the third century, Caius</w:t>
      </w:r>
      <w:r>
        <w:fldChar w:fldCharType="begin"/>
      </w:r>
      <w:r>
        <w:instrText xml:space="preserve"> XE "Caius" \f "Persons"</w:instrText>
      </w:r>
      <w:r>
        <w:fldChar w:fldCharType="end"/>
      </w:r>
      <w:r>
        <w:t>, whom Photius</w:t>
      </w:r>
      <w:r>
        <w:fldChar w:fldCharType="begin"/>
      </w:r>
      <w:r>
        <w:instrText xml:space="preserve"> XE "Photius" \f "Persons"</w:instrText>
      </w:r>
      <w:r>
        <w:fldChar w:fldCharType="end"/>
      </w:r>
      <w:r>
        <w:t xml:space="preserve"> testifies was ordained bishop of the Gentiles. This same distinguished writer judges that Justin fulfilled this evangelist role in Campania and Egypt, regions that Justin himself testifies to having traveled in the </w:t>
      </w:r>
      <w:r>
        <w:rPr>
          <w:i/>
        </w:rPr>
        <w:t>Cohort. ad Græcos</w:t>
      </w:r>
      <w:r>
        <w:t xml:space="preserve">; also in Asia, where Eusebius says he was active and held the </w:t>
      </w:r>
      <w:r>
        <w:rPr>
          <w:i/>
        </w:rPr>
        <w:t>Dialogue with Trypho</w:t>
      </w:r>
      <w:r>
        <w:t xml:space="preserve"> and other Jews in Ephesus. This opinion is supported by the dignity of bishop or presbyter, which Tillemont also supposes Justin possessed. These conjectures carry nothing contradictory, nothing that does not seem well and suitably considered; yet they should still be adopted with some selectivity.</w:t>
      </w:r>
    </w:p>
    <w:p w14:paraId="3C29B080" w14:textId="77777777" w:rsidR="005C2B3E" w:rsidRDefault="00000000">
      <w:pPr>
        <w:ind w:firstLine="360"/>
      </w:pPr>
      <w:r>
        <w:t>First, Tillemont</w:t>
      </w:r>
      <w:r>
        <w:fldChar w:fldCharType="begin"/>
      </w:r>
      <w:r>
        <w:instrText xml:space="preserve"> XE "Tillemont" \f "Persons"</w:instrText>
      </w:r>
      <w:r>
        <w:fldChar w:fldCharType="end"/>
      </w:r>
      <w:r>
        <w:t xml:space="preserve"> is less accurate in thinking that Campania and Egypt were traveled by Justin for the purpose of preaching the Gospel. For it is not unlikely that he embraced the Christian religion in Egypt itself, and that he did not stay long at all in Cumæ in Campania, but passed through while heading to Rome; or if he did travel these regions, it certainly happened before his arrival in Rome, before the writing of </w:t>
      </w:r>
      <w:r>
        <w:lastRenderedPageBreak/>
        <w:t xml:space="preserve">the </w:t>
      </w:r>
      <w:r>
        <w:rPr>
          <w:i/>
        </w:rPr>
        <w:t>Cohortation to the Greeks</w:t>
      </w:r>
      <w:r>
        <w:t>, and therefore when he was still new to conversion, not yet mature for the office of evangelist.</w:t>
      </w:r>
    </w:p>
    <w:p w14:paraId="2664F486" w14:textId="77777777" w:rsidR="005C2B3E" w:rsidRDefault="00000000">
      <w:pPr>
        <w:ind w:firstLine="360"/>
      </w:pPr>
      <w:r>
        <w:t xml:space="preserve">Second, it cannot be determined whether Justin, leaving Rome, traveled through various regions or sought a fixed place to stay. This much only we know, nothing more: that after leaving Rome, he debated with Trypho and other Jews in Ephesus for two days. This was the occasion of that </w:t>
      </w:r>
      <w:r>
        <w:rPr>
          <w:i/>
        </w:rPr>
        <w:t>Dialogue</w:t>
      </w:r>
      <w:r>
        <w:t>.</w:t>
      </w:r>
    </w:p>
    <w:p w14:paraId="0A0570E1" w14:textId="77777777" w:rsidR="005C2B3E" w:rsidRDefault="00000000">
      <w:pPr>
        <w:ind w:firstLine="360"/>
      </w:pPr>
      <w:r>
        <w:t>II. A few days before Justin was to leave, a certain Jew named Trypho, with others of the same people, met him walking in the Xystus in the morning and showed that he was a student of philosophy and therefore eager to talk with him. Justin asks whether Moses and the prophets are much more helpful to him than philosophers; and when asked by him what he thinks about God, what philosophy he follows, he tells them how, devoted to Platonic philosophy by an old man he had perhaps met, he had learned that truth must be sought not from philosophers but from the prophets who preach about Christ, the Son of God. Trypho’s companions laugh; Trypho feels sorry for Justin’s fate, because, having left philosophers, he puts his hope in man, deceived by empty stories. Justin promises that he will show, if they are willing to listen, that Christians believe not in fables but in the most certain arguments. Again Trypho’s companions laugh and shout rudely; Justin tries to leave; he is held back by Trypho, but on the condition that the companions either leave or listen silently. Then Justin and Trypho come to the middle of the Xystus stadium, and there they sit down on stone seats placed on either side, after two of Trypho’s companions had gone away. These were the preliminaries of a longer debate, which, interrupted at the end of the day, was resumed the next day when Trypho returned with his companions and some others who had not been present the day before, at a time, as is likely, arranged beforehand.</w:t>
      </w:r>
    </w:p>
    <w:p w14:paraId="0DC8240F" w14:textId="77777777" w:rsidR="005C2B3E" w:rsidRDefault="00000000">
      <w:pPr>
        <w:ind w:firstLine="360"/>
      </w:pPr>
      <w:r>
        <w:t>After these things were debated for two days, the sequence of which we have outlined in the analysis prefixed to the work, Justin and Trypho parted not without refined expressions of friendship. Trypho declares that he was greatly pleased by this meeting; nor does he doubt that his companions felt the same way. For they found more than they expected, or than could ever be expected. He expresses a desire to converse more often; he prays for a safe voyage for Justin: Justin says he can pray for nothing greater for them than that, thinking the same as Christians, they may believe in Christ.</w:t>
      </w:r>
    </w:p>
    <w:p w14:paraId="521C0F64" w14:textId="77777777" w:rsidR="005C2B3E" w:rsidRDefault="00000000">
      <w:pPr>
        <w:ind w:firstLine="360"/>
      </w:pPr>
      <w:r>
        <w:t>Justin</w:t>
      </w:r>
      <w:r>
        <w:fldChar w:fldCharType="begin"/>
      </w:r>
      <w:r>
        <w:instrText xml:space="preserve"> XE "Justin" \f "Persons"</w:instrText>
      </w:r>
      <w:r>
        <w:fldChar w:fldCharType="end"/>
      </w:r>
      <w:r>
        <w:t xml:space="preserve"> dedicated the work to Marcus</w:t>
      </w:r>
      <w:r>
        <w:fldChar w:fldCharType="begin"/>
      </w:r>
      <w:r>
        <w:instrText xml:space="preserve"> XE "Marcus" \f "Persons"</w:instrText>
      </w:r>
      <w:r>
        <w:fldChar w:fldCharType="end"/>
      </w:r>
      <w:r>
        <w:t xml:space="preserve"> Pompeius, whom he calls most friendly, n. 8, and near the end, we rightly suppose to have been a Christian and a cultivator of truth. But to identify him with Lango as that Marcus by whom the defeated Jews, or with Grabio</w:t>
      </w:r>
      <w:r>
        <w:fldChar w:fldCharType="begin"/>
      </w:r>
      <w:r>
        <w:instrText xml:space="preserve"> XE "Grabio" \f "Persons"</w:instrText>
      </w:r>
      <w:r>
        <w:fldChar w:fldCharType="end"/>
      </w:r>
      <w:r>
        <w:t xml:space="preserve"> as Marcus of Jerusalem, would be to indulge in idle speculation.</w:t>
      </w:r>
    </w:p>
    <w:p w14:paraId="19875529" w14:textId="77777777" w:rsidR="005C2B3E" w:rsidRDefault="00000000">
      <w:pPr>
        <w:ind w:firstLine="360"/>
      </w:pPr>
      <w:r>
        <w:lastRenderedPageBreak/>
        <w:t>III. The sincere mind of Justin</w:t>
      </w:r>
      <w:r>
        <w:fldChar w:fldCharType="begin"/>
      </w:r>
      <w:r>
        <w:instrText xml:space="preserve"> XE "Justin" \f "Persons"</w:instrText>
      </w:r>
      <w:r>
        <w:fldChar w:fldCharType="end"/>
      </w:r>
      <w:r>
        <w:t xml:space="preserve"> and his love of truth are shown in all his works; but in this </w:t>
      </w:r>
      <w:r>
        <w:rPr>
          <w:i/>
        </w:rPr>
        <w:t>Dialogue</w:t>
      </w:r>
      <w:r>
        <w:t xml:space="preserve"> he imposed on himself the need to accurately report whatever he had discussed with the Jews. For he had promised them, n. 80, that he would commit this debate to writing, so that nothing of suspicion would remain in the minds of the Jews, nor would he hide his opinion about the restoration of Jerusalem, which he admitted displeased many. He kept his promise, and, as is likely, having returned to Rome (for he had a home there), he composed this work, though I would not say whether under Antoninus</w:t>
      </w:r>
      <w:r>
        <w:fldChar w:fldCharType="begin"/>
      </w:r>
      <w:r>
        <w:instrText xml:space="preserve"> XE "Antoninus" \f "Persons"</w:instrText>
      </w:r>
      <w:r>
        <w:fldChar w:fldCharType="end"/>
      </w:r>
      <w:r>
        <w:t xml:space="preserve"> or Marcus</w:t>
      </w:r>
      <w:r>
        <w:fldChar w:fldCharType="begin"/>
      </w:r>
      <w:r>
        <w:instrText xml:space="preserve"> XE "Marcus" \f "Persons"</w:instrText>
      </w:r>
      <w:r>
        <w:fldChar w:fldCharType="end"/>
      </w:r>
      <w:r>
        <w:t xml:space="preserve">. But it is gathered that the </w:t>
      </w:r>
      <w:r>
        <w:rPr>
          <w:i/>
        </w:rPr>
        <w:t>Dialogue</w:t>
      </w:r>
      <w:r>
        <w:t xml:space="preserve"> was held under Antoninus from these words: Οὐ γὰρ ἐξουσίαν ἔχετε αὐτόχειρες γενέσθαι ἡμῶν διὰ τοὺς νῦν ἐπικρατοῦντας· ὁσάκις δʼ ἂ ἐδυνήθητε, καὶ τοῦτο ἐπράξατε. “For you do not have the power to kill us yourselves because of those who now rule; but whenever you were able, you did this.” Then the emperor favored the Christians, and by his protection they were safe from the plots of enemies. For if any cruel persecution had occurred, the Jews would not have lacked the opportunity to vent their hatred, if less by killing Christians themselves, at least by joining with the pagans, as they often did, and stirring up their fury against Christians. If Justin says that the power taken from the Jews was that which they then had when they defended their affairs by arms and camps, he should say that it was not taken by those who then ruled, but suppressed by Hadrian, by whom they were utterly defeated and robbed of all things. Although the Jews under the leader Bar Kokhba cruelly raged against Christians, as Justin testifies, </w:t>
      </w:r>
      <w:r>
        <w:rPr>
          <w:i/>
        </w:rPr>
        <w:t>Apol.</w:t>
      </w:r>
      <w:r>
        <w:t xml:space="preserve"> 1, n. 31, this persecution was not long-lasting; but the Jews did not cease to harass Christians whenever the pagans stirred up persecution. They observed the Christians’ feast days and, with the pagans, rushed into the church, as Saint Hippolytus testifies, and dragged some caught to the courts. Hence in the </w:t>
      </w:r>
      <w:r>
        <w:rPr>
          <w:i/>
        </w:rPr>
        <w:t>Acts of the Martyrs</w:t>
      </w:r>
      <w:r>
        <w:t xml:space="preserve"> they shout much more violently than the pagans themselves. See </w:t>
      </w:r>
      <w:r>
        <w:rPr>
          <w:i/>
        </w:rPr>
        <w:t>Acts of Saint Polycarp</w:t>
      </w:r>
      <w:r>
        <w:t xml:space="preserve">, n. 12, and </w:t>
      </w:r>
      <w:r>
        <w:rPr>
          <w:i/>
        </w:rPr>
        <w:t>Saint Philip the Hieromartyr</w:t>
      </w:r>
      <w:r>
        <w:t xml:space="preserve">, n. 6. Justin himself in another place of the </w:t>
      </w:r>
      <w:r>
        <w:rPr>
          <w:i/>
        </w:rPr>
        <w:t>Dialogue</w:t>
      </w:r>
      <w:r>
        <w:t xml:space="preserve"> describes the union of the Jews with the pagans against Christians thus: “As much as is in you and all other men, not only is each Christian driven out from his own possessions, but also from the whole world, and you leave no Christian a free life.” Therefore, the power to harm which he says was taken from the Jews by those who then ruled is not Marcus Aurelius, who was always devoted to the enemies of Christians and never a friend to Christians, but it designates Antoninus, whose favor had not yet, it seems, been taken away from the Christians by the change of empire when Justin was discussing these things.</w:t>
      </w:r>
    </w:p>
    <w:p w14:paraId="77DAB399" w14:textId="77777777" w:rsidR="005C2B3E" w:rsidRDefault="00000000">
      <w:pPr>
        <w:ind w:firstLine="360"/>
      </w:pPr>
      <w:r>
        <w:t>IV. Trypho was a Hebrew and circumcised, and a refugee from the war that had been waged under Hadrian, he had come to Greece. At Argos he had heard of Socratic Corinth, and from that time he was accustomed to live in Greece and Corinth. Tillemont interpreted these words of Trypho, φυγὼν τὸν νῦν γενόμενον πόλεμον, as referring to a certain war that Antoninus</w:t>
      </w:r>
      <w:r>
        <w:fldChar w:fldCharType="begin"/>
      </w:r>
      <w:r>
        <w:instrText xml:space="preserve"> XE "Antoninus" \f "Persons"</w:instrText>
      </w:r>
      <w:r>
        <w:fldChar w:fldCharType="end"/>
      </w:r>
      <w:r>
        <w:t xml:space="preserve"> Pius</w:t>
      </w:r>
      <w:r>
        <w:fldChar w:fldCharType="begin"/>
      </w:r>
      <w:r>
        <w:instrText xml:space="preserve"> XE "Pius" \f "Persons"</w:instrText>
      </w:r>
      <w:r>
        <w:fldChar w:fldCharType="end"/>
      </w:r>
      <w:r>
        <w:t xml:space="preserve"> had with the Jews, but this is less </w:t>
      </w:r>
      <w:r>
        <w:lastRenderedPageBreak/>
        <w:t>accurate. To omit that this war was a brief and minor expedition, and that the Jews were scattered into various parts not under Pius but under Hadrian; Trypho indicates that a long time had passed since the war from which he was a refugee. For from the time he had fled his homeland, he had devoted himself to philosophy, and mostly lived in Greece and Corinth, which shows he did not always stay in that city. Therefore, these words, τὸν νῦν γενόμενον πόλεμον, cannot be understood as referring to the war raging at that time. I have already noted that νῦν is used about events that happened many years before, and it should not seem strange if Trypho uses it about a war finished perhaps twenty years earlier.</w:t>
      </w:r>
    </w:p>
    <w:p w14:paraId="1C28ED25" w14:textId="77777777" w:rsidR="005C2B3E" w:rsidRDefault="00000000">
      <w:pPr>
        <w:ind w:firstLine="360"/>
      </w:pPr>
      <w:r>
        <w:t>Eusebius</w:t>
      </w:r>
      <w:r>
        <w:fldChar w:fldCharType="begin"/>
      </w:r>
      <w:r>
        <w:instrText xml:space="preserve"> XE "Eusebius" \f "Persons"</w:instrText>
      </w:r>
      <w:r>
        <w:fldChar w:fldCharType="end"/>
      </w:r>
      <w:r>
        <w:t xml:space="preserve"> testifies that Trypho was the most famous of all the Jews of that time. Thus he speaks of Justin</w:t>
      </w:r>
      <w:r>
        <w:fldChar w:fldCharType="begin"/>
      </w:r>
      <w:r>
        <w:instrText xml:space="preserve"> XE "Justin" \f "Persons"</w:instrText>
      </w:r>
      <w:r>
        <w:fldChar w:fldCharType="end"/>
      </w:r>
      <w:r>
        <w:t xml:space="preserve">’s </w:t>
      </w:r>
      <w:r>
        <w:rPr>
          <w:i/>
        </w:rPr>
        <w:t>Dialogue</w:t>
      </w:r>
      <w:r>
        <w:t xml:space="preserve"> in book iv of the </w:t>
      </w:r>
      <w:r>
        <w:rPr>
          <w:i/>
        </w:rPr>
        <w:t>History</w:t>
      </w:r>
      <w:r>
        <w:t xml:space="preserve">, chapter 18: Καὶ διάλογον δὲ πρὸς Ἰουδαίους συνέταξεν, ὃν ἐπὶ τῆς Ἐφέσου πόλεως πρὸς Τρύφωνα τῶν τότε Ἑβραίων ἐπισημότατον πεποίηται. “He also composed a </w:t>
      </w:r>
      <w:r>
        <w:rPr>
          <w:i/>
        </w:rPr>
        <w:t>Dialogue</w:t>
      </w:r>
      <w:r>
        <w:t xml:space="preserve"> against the Jews, which he held at Ephesus with Trypho, then the most famous of the Jews.” Grabius</w:t>
      </w:r>
      <w:r>
        <w:fldChar w:fldCharType="begin"/>
      </w:r>
      <w:r>
        <w:instrText xml:space="preserve"> XE "Grabius" \f "Persons"</w:instrText>
      </w:r>
      <w:r>
        <w:fldChar w:fldCharType="end"/>
      </w:r>
      <w:r>
        <w:t xml:space="preserve"> thinks these words of Eusebius confirm Caveus</w:t>
      </w:r>
      <w:r>
        <w:fldChar w:fldCharType="begin"/>
      </w:r>
      <w:r>
        <w:instrText xml:space="preserve"> XE "Caveus" \f "Persons"</w:instrText>
      </w:r>
      <w:r>
        <w:fldChar w:fldCharType="end"/>
      </w:r>
      <w:r>
        <w:t xml:space="preserve">’s conjecture that this Trypho is the same as the rabbi Tarphon, a man of great name among the Jews, commonly called כחן העשיר, </w:t>
      </w:r>
      <w:r>
        <w:rPr>
          <w:i/>
        </w:rPr>
        <w:t>the rich priest</w:t>
      </w:r>
      <w:r>
        <w:t xml:space="preserve">. But if Trypho was counted among the rabbis, he did not reach this honor until after the </w:t>
      </w:r>
      <w:r>
        <w:rPr>
          <w:i/>
        </w:rPr>
        <w:t>Dialogue</w:t>
      </w:r>
      <w:r>
        <w:t xml:space="preserve"> with Justin. For at the start of the conversation, when Trypho said that Christ, if he is already born and exists somewhere, is completely unknown and not even known to himself, nor endowed with any power, until Elias comes who will anoint him and show him to all; Justin means that he pities Trypho, deceived by the rabbis who pour out whatever comes to mind. Throughout the entire </w:t>
      </w:r>
      <w:r>
        <w:rPr>
          <w:i/>
        </w:rPr>
        <w:t>Dialogue</w:t>
      </w:r>
      <w:r>
        <w:t xml:space="preserve">, he deals with Trypho and his companions as with men who follow rabbis as leaders like blind men; and when leaving them, he urges them to put Christ before the rabbis. Trypho himself shows submission to the rabbis when he says, n. 38: “We would do well if, following the custom of our teachers, who by law forbade any of you to come to a conversation, we would not even share these words with you.” When Justin asks, n. 56, whether they think the name of God and Lord is given to anyone except God the Father and Christ by the Holy Spirit, Trypho answers on behalf of others that they are unprepared for such dangerous questions, and he has never heard anyone discuss these matters. He may also seem simpler when he gets angry and accuses Justin of blasphemy because he mentioned the bad qualities that failed from God, n. 70. Yet among the companions who heard Justin with him, he already stood out in authority and knowledge, and it is not unlikely that he later gained the name and fame of a rabbi. He had devoted himself to philosophy under a gentile teacher, and to prove that he was eager to learn, he testifies that he read the sacred books of the Christians, </w:t>
      </w:r>
      <w:r>
        <w:rPr>
          <w:i/>
        </w:rPr>
        <w:t>Dialogue</w:t>
      </w:r>
      <w:r>
        <w:t>, n. 10.</w:t>
      </w:r>
    </w:p>
    <w:p w14:paraId="691E61F5" w14:textId="77777777" w:rsidR="005C2B3E" w:rsidRDefault="00000000">
      <w:pPr>
        <w:ind w:firstLine="360"/>
      </w:pPr>
      <w:r>
        <w:t xml:space="preserve">Trypho lacked neither honesty nor a certain love of truth, but an excessive zeal for the law seems to have robbed him of the benefits he might have gained from his </w:t>
      </w:r>
      <w:r>
        <w:lastRenderedPageBreak/>
        <w:t>conversation with Justin</w:t>
      </w:r>
      <w:r>
        <w:fldChar w:fldCharType="begin"/>
      </w:r>
      <w:r>
        <w:instrText xml:space="preserve"> XE "Justin" \f "Persons"</w:instrText>
      </w:r>
      <w:r>
        <w:fldChar w:fldCharType="end"/>
      </w:r>
      <w:r>
        <w:t>. He did not believe the false rumors spread about the Christians among the people; he judged them unworthy of faith, n. 10; his only fault with them was that although they showed great piety, they did not observe feast days, nor the Sabbaths, nor circumcision, and they placed their hope in a crucified man. At his request, Justin proved with excellent arguments that the law was given not for righteousness but because of sins; yet Trypho was not moved by this, n. 18. Justin presses again and asks why God did not impose circumcision and Sabbaths on the righteous before Abraham and Moses; then Trypho frankly admits his ignorance, n. 28. He seems to shudder in spirit, n. 38, when he hears that Christ is the one who spoke with Moses and Aaron in the pillar of cloud; he shows himself fairer to the arguments brought by Justin to prove that the Son was begotten by God before the ages; he admits the matter is excellently demonstrated, n. 57 and 63, and only asks Justin to prove that this Son of God was born, crucified, rose again, and ascended into heaven. You would almost say Trypho was defeated, n. 89, when he admits that everything in the Scriptures’ testimonies praised by Justin agrees with Christ: only one thing frightens him, the punishment of the cross, which the law condemned with a curse. Justin gathers many excellent arguments to explain this, but still the hearts of the Jews do not seem to be overcome, although sometimes they seem to be moved. For after so many great arguments about religion, when Justin stressed a certain passage of Isaiah about Christ and that the nations enlightened by him must accept it, some of those who came the next day shouted disorderly as if in a theater, n. 122.</w:t>
      </w:r>
    </w:p>
    <w:p w14:paraId="4DA0D2B6" w14:textId="77777777" w:rsidR="005C2B3E" w:rsidRDefault="00000000">
      <w:pPr>
        <w:ind w:firstLine="360"/>
      </w:pPr>
      <w:r>
        <w:t>Justin</w:t>
      </w:r>
      <w:r>
        <w:fldChar w:fldCharType="begin"/>
      </w:r>
      <w:r>
        <w:instrText xml:space="preserve"> XE "Justin" \f "Persons"</w:instrText>
      </w:r>
      <w:r>
        <w:fldChar w:fldCharType="end"/>
      </w:r>
      <w:r>
        <w:t xml:space="preserve"> sometimes seems to depart from his usual gentleness in teaching the Jews, and often burdens them with harsh insults. But when he uses harsher words, he is not so much addressing those who listened as he is rebuking a people stubborn in every crime, as when he says at number 93: “For although you have plenty of means to understand from the signs made by Moses that this is Christ, you not only refuse, but also, thinking that you can trap us, you raise whatever questions come up, yet you yourselves have nothing to say if you offend a stronger Christian.” Many other examples can be considered alongside this, in which Justin lashes the Jewish people to recall the Jews listening from the most foolish opinion they had about their nation and synagogues to recognizing the true Israel and the people of God. Justin’s patience shines forth when Trypho calls him foolish, n. 39, or when he shows a mind strongly averse to Christian teaching, or rejects what he had previously conceded, n. 67. In these places, Justin restrains his just anger and does not lessen his zeal for teaching the truth, fearing God’s judgment if he hides the truth, and also hoping that among those who listened there might be found someone who is among the elect; and he testifies that he usually acts this way with all people, whoever wishes to question him.</w:t>
      </w:r>
    </w:p>
    <w:p w14:paraId="2DC080BC" w14:textId="77777777" w:rsidR="005C2B3E" w:rsidRDefault="00000000">
      <w:pPr>
        <w:ind w:firstLine="360"/>
      </w:pPr>
      <w:r>
        <w:t xml:space="preserve">Trypho met Justin on the first day with six companions. For when two had left, Justin counts the fourth of those who remained, n. 66, p. 152. The next day Trypho’s </w:t>
      </w:r>
      <w:r>
        <w:lastRenderedPageBreak/>
        <w:t>company was larger. For besides those who had been present the day before, others arrived, such as Mnaseas, mentioned at n. 85, and another, n. 94. Furthermore, Justin says, as I have already mentioned, n. 122, that some of those who came the next day shouted disorderly as if in a theater.</w:t>
      </w:r>
    </w:p>
    <w:p w14:paraId="4D17865C" w14:textId="77777777" w:rsidR="005C2B3E" w:rsidRDefault="00000000">
      <w:pPr>
        <w:ind w:firstLine="360"/>
      </w:pPr>
      <w:r>
        <w:t>V. But a difficult and very important question must be examined by us, whether this entire outstanding work has come down to us, or whether a rather long part is missing, as it has seemed to learned men, all who have studied Justin</w:t>
      </w:r>
      <w:r>
        <w:fldChar w:fldCharType="begin"/>
      </w:r>
      <w:r>
        <w:instrText xml:space="preserve"> XE "Justin" \f "Persons"</w:instrText>
      </w:r>
      <w:r>
        <w:fldChar w:fldCharType="end"/>
      </w:r>
      <w:r>
        <w:t>’s writings. Certainly, not light reasons seem to be present for why we suspect a large gap. For although Justin spent two days in discussion, and sometimes repeats what was discussed the day before for the sake of those who were not present, as at numbers 78, 84, 92, 118, nowhere do you find the conclusion of the earlier discussion, nowhere the beginning of the later one; absolutely no greeting for those leaving at night and returning the next day. If these things have fallen out of Justin’s writing, the gap must necessarily be placed between numbers 70 and 78. For Justin, at number 78, repeats what was discussed the day before about the mysteries of Mithras for the sake of those who were not present. But these are read at number 70. Hence it is necessary to place the end of yesterday’s conversation and the beginning of the later one in the middle between the two pages. The passage cited from number 82 by St</w:t>
      </w:r>
      <w:r>
        <w:fldChar w:fldCharType="begin"/>
      </w:r>
      <w:r>
        <w:instrText xml:space="preserve"> XE "St" \f "Persons"</w:instrText>
      </w:r>
      <w:r>
        <w:fldChar w:fldCharType="end"/>
      </w:r>
      <w:r>
        <w:t>. John of Damascus</w:t>
      </w:r>
      <w:r>
        <w:fldChar w:fldCharType="begin"/>
      </w:r>
      <w:r>
        <w:instrText xml:space="preserve"> XE "John of Damascus" \f "Persons"</w:instrText>
      </w:r>
      <w:r>
        <w:fldChar w:fldCharType="end"/>
      </w:r>
      <w:r>
        <w:t xml:space="preserve"> in </w:t>
      </w:r>
      <w:r>
        <w:rPr>
          <w:i/>
        </w:rPr>
        <w:t>Parallel</w:t>
      </w:r>
      <w:r>
        <w:t xml:space="preserve">, p. 754, is said to be taken from ἐκ τοῦ πρὸς Τρύφωνα βʹ λόγου, </w:t>
      </w:r>
      <w:r>
        <w:rPr>
          <w:i/>
        </w:rPr>
        <w:t>from the second Dialogue with Trypho</w:t>
      </w:r>
      <w:r>
        <w:t xml:space="preserve">, that is, as the learned editor notes, from the second part of the </w:t>
      </w:r>
      <w:r>
        <w:rPr>
          <w:i/>
        </w:rPr>
        <w:t>Dialogue</w:t>
      </w:r>
      <w:r>
        <w:t>.</w:t>
      </w:r>
    </w:p>
    <w:p w14:paraId="1A8A5E00" w14:textId="77777777" w:rsidR="005C2B3E" w:rsidRDefault="00000000">
      <w:pPr>
        <w:ind w:firstLine="360"/>
      </w:pPr>
      <w:r>
        <w:t>But yet if we consider the order and sequence which Justin</w:t>
      </w:r>
      <w:r>
        <w:fldChar w:fldCharType="begin"/>
      </w:r>
      <w:r>
        <w:instrText xml:space="preserve"> XE "Justin" \f "Persons"</w:instrText>
      </w:r>
      <w:r>
        <w:fldChar w:fldCharType="end"/>
      </w:r>
      <w:r>
        <w:t xml:space="preserve"> follows in handling all topics, we will set a limit to the desire for the lost part of the </w:t>
      </w:r>
      <w:r>
        <w:rPr>
          <w:i/>
        </w:rPr>
        <w:t>Dialogue</w:t>
      </w:r>
      <w:r>
        <w:t>, and the pain caused by the supposed gap will disappear.</w:t>
      </w:r>
    </w:p>
    <w:p w14:paraId="4944F307" w14:textId="77777777" w:rsidR="005C2B3E" w:rsidRDefault="00000000">
      <w:pPr>
        <w:ind w:firstLine="360"/>
      </w:pPr>
      <w:r>
        <w:t xml:space="preserve">1º The whole series of the </w:t>
      </w:r>
      <w:r>
        <w:rPr>
          <w:i/>
        </w:rPr>
        <w:t>Dialogue</w:t>
      </w:r>
      <w:r>
        <w:t>, while questions arise from one to another, holds together wonderfully, and from number 70, where the mysteries of Mithras are discussed, to number 78, where the previous day’s mention of the mysteries of Mithras is repeated for those who were not present the day before, the discussion does not seem to have been interrupted. For after Justin</w:t>
      </w:r>
      <w:r>
        <w:fldChar w:fldCharType="begin"/>
      </w:r>
      <w:r>
        <w:instrText xml:space="preserve"> XE "Justin" \f "Persons"</w:instrText>
      </w:r>
      <w:r>
        <w:fldChar w:fldCharType="end"/>
      </w:r>
      <w:r>
        <w:t xml:space="preserve"> took occasion from the passage of Isaiah</w:t>
      </w:r>
      <w:r>
        <w:fldChar w:fldCharType="begin"/>
      </w:r>
      <w:r>
        <w:instrText xml:space="preserve"> XE "Isaiah" \f "Persons"</w:instrText>
      </w:r>
      <w:r>
        <w:fldChar w:fldCharType="end"/>
      </w:r>
      <w:r>
        <w:t xml:space="preserve">, which the priests of Mithras are said to have imitated, to rebuke the proud ignorance of the Jews in interpreting the Scriptures, and to complain that they dare to criticize the Septuagint translation and have removed some testimonies from it; then indeed he came to the promised explanation of Isaiah’s words, </w:t>
      </w:r>
      <w:r>
        <w:rPr>
          <w:i/>
        </w:rPr>
        <w:t>Behold, a virgin shall conceive</w:t>
      </w:r>
      <w:r>
        <w:t xml:space="preserve">, which he admits was not removed by the Jews, but was rendered instead as </w:t>
      </w:r>
      <w:r>
        <w:rPr>
          <w:i/>
        </w:rPr>
        <w:t>Behold, a young woman will bear a child</w:t>
      </w:r>
      <w:r>
        <w:t xml:space="preserve">. Trypho interrupts and wishes to know what testimonies from the Scriptures the Jews have removed. Justin acts according to custom, and when he says that the Jews removed the phrase </w:t>
      </w:r>
      <w:r>
        <w:rPr>
          <w:i/>
        </w:rPr>
        <w:t>from the wood</w:t>
      </w:r>
      <w:r>
        <w:t xml:space="preserve"> from the words, </w:t>
      </w:r>
      <w:r>
        <w:rPr>
          <w:i/>
        </w:rPr>
        <w:t>The Lord has reigned from the wood</w:t>
      </w:r>
      <w:r>
        <w:t xml:space="preserve">, he begins to refute Trypho, who argued </w:t>
      </w:r>
      <w:r>
        <w:lastRenderedPageBreak/>
        <w:t>that this whole psalm was not spoken about the suffering Christ but about God the creator of all, and he proves that the majesty of the kingdom in Christ is joined with the shame of the passion by many testimonies of Scripture. Trypho admits that these things are important for persuading, but he repeatedly demands from Justin the promised explanation of Isaiah’s words, which indeed, while he carries it out, Justin takes occasion to repeat what he said the day before about the mysteries of Mithras.</w:t>
      </w:r>
    </w:p>
    <w:p w14:paraId="752C22E4" w14:textId="77777777" w:rsidR="005C2B3E" w:rsidRDefault="00000000">
      <w:pPr>
        <w:ind w:firstLine="360"/>
      </w:pPr>
      <w:r>
        <w:t>2º From this it is clear that those who, at number 74, placing the end of the first day and the beginning of the next at the words ὡς καὶ διὰ τῆς γῆς, have tried to fill the supposed gap either with invented opinions or with passages repeated from St</w:t>
      </w:r>
      <w:r>
        <w:fldChar w:fldCharType="begin"/>
      </w:r>
      <w:r>
        <w:instrText xml:space="preserve"> XE "St" \f "Persons"</w:instrText>
      </w:r>
      <w:r>
        <w:fldChar w:fldCharType="end"/>
      </w:r>
      <w:r>
        <w:t>. John of Damascus</w:t>
      </w:r>
      <w:r>
        <w:fldChar w:fldCharType="begin"/>
      </w:r>
      <w:r>
        <w:instrText xml:space="preserve"> XE "John of Damascus" \f "Persons"</w:instrText>
      </w:r>
      <w:r>
        <w:fldChar w:fldCharType="end"/>
      </w:r>
      <w:r>
        <w:t>, have wasted their effort. Very few words are missing, and the discussion always revolves around the same topic, as has been noted in the remarks.</w:t>
      </w:r>
    </w:p>
    <w:p w14:paraId="39436C61" w14:textId="77777777" w:rsidR="005C2B3E" w:rsidRDefault="00000000">
      <w:pPr>
        <w:ind w:firstLine="360"/>
      </w:pPr>
      <w:r>
        <w:t>3º Thus Justin</w:t>
      </w:r>
      <w:r>
        <w:fldChar w:fldCharType="begin"/>
      </w:r>
      <w:r>
        <w:instrText xml:space="preserve"> XE "Justin" \f "Persons"</w:instrText>
      </w:r>
      <w:r>
        <w:fldChar w:fldCharType="end"/>
      </w:r>
      <w:r>
        <w:t xml:space="preserve"> wove the entire </w:t>
      </w:r>
      <w:r>
        <w:rPr>
          <w:i/>
        </w:rPr>
        <w:t>Dialogue</w:t>
      </w:r>
      <w:r>
        <w:t xml:space="preserve"> so that there is no reason at all for the interruption brought by the night, but that everything is included in the same sequence; either because it seemed more convenient to him and he did not want to interrupt the reader with unnecessary narration, or because he did not report everything in the same order in which it had been discussed, but so that they might be recalled or brought back to certain kinds of topics. The matter is easily placed before the eyes. Trypho asks Justin, at number 56, p. 153, that since he sees the day advancing, he might quickly finish what he had undertaken to prove, namely that besides God the Father, there is another who is called his Son and God. Justin discusses this matter at length: Trypho testifies that he has done enough for him at number 63, and he proposes to Justin a very broad field of discussion, into which almost all that remains of the </w:t>
      </w:r>
      <w:r>
        <w:rPr>
          <w:i/>
        </w:rPr>
        <w:t>Dialogue</w:t>
      </w:r>
      <w:r>
        <w:t xml:space="preserve"> will be taken up, namely about the incarnation, cross, resurrection, and ascension of this Son, whom Justin had shown to be God. Justin gladly takes on the task. How then could the forgetfulness of the passing day have taken hold? For these things were demanded by Trypho and promised by Justin before number 70, that is, before the end of the first day could be observed. Indeed, after Justin began to prove that Christ had to be born of a virgin, and to this discussion, partly interrupted by Trypho, partly woven by Justin on his own, it is returned to by Trypho as promised in one and the same conversation, and the night is by no means interrupted. Thus Trypho, at number 77: “Indeed, I agree with you that there are many and great reasons important for persuading; but I would like you to give me back that Scripture which you have often promised to demonstrate.” The reason for this discussion is that Justin did not want to carefully distinguish what was discussed on the first day and what on the second, but included everything in one and the same sequence.</w:t>
      </w:r>
    </w:p>
    <w:p w14:paraId="6AA1A046" w14:textId="77777777" w:rsidR="005C2B3E" w:rsidRDefault="00000000">
      <w:pPr>
        <w:ind w:firstLine="360"/>
      </w:pPr>
      <w:r>
        <w:t xml:space="preserve">4º Some things occur in the later part of the </w:t>
      </w:r>
      <w:r>
        <w:rPr>
          <w:i/>
        </w:rPr>
        <w:t>Dialogue</w:t>
      </w:r>
      <w:r>
        <w:t xml:space="preserve"> which are sought in vain in the earlier part, although they were said the day before. Justin</w:t>
      </w:r>
      <w:r>
        <w:fldChar w:fldCharType="begin"/>
      </w:r>
      <w:r>
        <w:instrText xml:space="preserve"> XE "Justin" \f "Persons"</w:instrText>
      </w:r>
      <w:r>
        <w:fldChar w:fldCharType="end"/>
      </w:r>
      <w:r>
        <w:t xml:space="preserve"> says, at number 85, that he had previously used these words from the Psalms: </w:t>
      </w:r>
      <w:r>
        <w:rPr>
          <w:i/>
        </w:rPr>
        <w:t>Praise the Lord from the heavens</w:t>
      </w:r>
      <w:r>
        <w:t xml:space="preserve">, </w:t>
      </w:r>
      <w:r>
        <w:lastRenderedPageBreak/>
        <w:t xml:space="preserve">and at number 105, that he had shown that souls remain after death. But these are not found elsewhere. Near the end of the </w:t>
      </w:r>
      <w:r>
        <w:rPr>
          <w:i/>
        </w:rPr>
        <w:t>Dialogue</w:t>
      </w:r>
      <w:r>
        <w:t xml:space="preserve">, Trypho testifies that Justin said he would soon conclude. But we should not suspect that these things were lost from the passages inserted between numbers 70 and 78. For we have shown that there is no gap or hole here. But it is not at all surprising if Justin recalls some things elsewhere that had not come to the memory of the writer. So also what Justin says, at number 80, that he had previously confessed that many of them, and those </w:t>
      </w:r>
      <w:r>
        <w:rPr>
          <w:i/>
        </w:rPr>
        <w:t>from that Christian group which follows a pious and pure opinion</w:t>
      </w:r>
      <w:r>
        <w:t>, do not agree about the restoration of Jerusalem, since this does not occur anywhere before, the fault should not be laid on the copyists, but rather the diligence of the writer should be praised, who aptly recalls things omitted in the first part, either on purpose or slipped from memory, in the second part.</w:t>
      </w:r>
    </w:p>
    <w:p w14:paraId="558E91DE" w14:textId="77777777" w:rsidR="005C2B3E" w:rsidRDefault="00000000">
      <w:pPr>
        <w:ind w:firstLine="360"/>
      </w:pPr>
      <w:r>
        <w:t>Justin</w:t>
      </w:r>
      <w:r>
        <w:fldChar w:fldCharType="begin"/>
      </w:r>
      <w:r>
        <w:instrText xml:space="preserve"> XE "Justin" \f "Persons"</w:instrText>
      </w:r>
      <w:r>
        <w:fldChar w:fldCharType="end"/>
      </w:r>
      <w:r>
        <w:t xml:space="preserve"> seems to have done the same in the true </w:t>
      </w:r>
      <w:r>
        <w:rPr>
          <w:i/>
        </w:rPr>
        <w:t>Dialogue</w:t>
      </w:r>
      <w:r>
        <w:t>, as Plato</w:t>
      </w:r>
      <w:r>
        <w:fldChar w:fldCharType="begin"/>
      </w:r>
      <w:r>
        <w:instrText xml:space="preserve"> XE "Plato" \f "Persons"</w:instrText>
      </w:r>
      <w:r>
        <w:fldChar w:fldCharType="end"/>
      </w:r>
      <w:r>
        <w:t xml:space="preserve"> does in his fictional works, where he presents Socrates unfolding ten books on the republic in one sequence, with no interruptions at all, although such breaks would naturally occur. I will use another example that seems more fitting. The </w:t>
      </w:r>
      <w:r>
        <w:rPr>
          <w:i/>
        </w:rPr>
        <w:t>Dialogue on the Life of St. John Chrysostom</w:t>
      </w:r>
      <w:r>
        <w:fldChar w:fldCharType="begin"/>
      </w:r>
      <w:r>
        <w:instrText xml:space="preserve"> XE "John Chrysostom" \f "Persons"</w:instrText>
      </w:r>
      <w:r>
        <w:fldChar w:fldCharType="end"/>
      </w:r>
      <w:r>
        <w:t>, held between Bishop Palladius</w:t>
      </w:r>
      <w:r>
        <w:fldChar w:fldCharType="begin"/>
      </w:r>
      <w:r>
        <w:instrText xml:space="preserve"> XE "Palladius" \f "Persons"</w:instrText>
      </w:r>
      <w:r>
        <w:fldChar w:fldCharType="end"/>
      </w:r>
      <w:r>
        <w:t xml:space="preserve"> and Deacon</w:t>
      </w:r>
      <w:r>
        <w:fldChar w:fldCharType="begin"/>
      </w:r>
      <w:r>
        <w:instrText xml:space="preserve"> XE "Deacon" \f "Persons"</w:instrText>
      </w:r>
      <w:r>
        <w:fldChar w:fldCharType="end"/>
      </w:r>
      <w:r>
        <w:t xml:space="preserve"> Theodorus</w:t>
      </w:r>
      <w:r>
        <w:fldChar w:fldCharType="begin"/>
      </w:r>
      <w:r>
        <w:instrText xml:space="preserve"> XE "Theodorus" \f "Persons"</w:instrText>
      </w:r>
      <w:r>
        <w:fldChar w:fldCharType="end"/>
      </w:r>
      <w:r>
        <w:t xml:space="preserve">, was extended up to the fourth day, as is clear from p. 162, where Palladius mentions some people about whom he testifies that he spoke the day before yesterday, οὗτοί εἰσι περὶ ὧν τρίτην ἡμέραν διηγησάμεθα. Yet this is a continuation of the </w:t>
      </w:r>
      <w:r>
        <w:rPr>
          <w:i/>
        </w:rPr>
        <w:t>Dialogue</w:t>
      </w:r>
      <w:r>
        <w:t>, so that although it was interrupted and repeated, you do not notice any sign of the end of one conversation or the beginning of the next.</w:t>
      </w:r>
    </w:p>
    <w:p w14:paraId="597ED5D4" w14:textId="77777777" w:rsidR="005C2B3E" w:rsidRDefault="00000000">
      <w:pPr>
        <w:pStyle w:val="Heading3"/>
      </w:pPr>
      <w:r>
        <w:t>CHAPTER 8</w:t>
      </w:r>
    </w:p>
    <w:p w14:paraId="71DDFA3B" w14:textId="77777777" w:rsidR="005C2B3E" w:rsidRDefault="00000000">
      <w:pPr>
        <w:pStyle w:val="Heading4"/>
      </w:pPr>
      <w:r>
        <w:t>ON THE SECOND APOLOGY OF ST. JUSTIN</w:t>
      </w:r>
    </w:p>
    <w:p w14:paraId="6BD5AFED" w14:textId="77777777" w:rsidR="005C2B3E" w:rsidRDefault="00000000">
      <w:pPr>
        <w:spacing w:before="180" w:after="0"/>
        <w:ind w:left="720" w:right="320" w:hanging="360"/>
      </w:pPr>
      <w:r>
        <w:t>Persecution under Marcus</w:t>
      </w:r>
      <w:r>
        <w:fldChar w:fldCharType="begin"/>
      </w:r>
      <w:r>
        <w:instrText xml:space="preserve"> XE "Marcus" \f "Persons"</w:instrText>
      </w:r>
      <w:r>
        <w:fldChar w:fldCharType="end"/>
      </w:r>
      <w:r>
        <w:t>. II. The debates of St. Justin with Crescens. III. On the martyrs praised in the Second Apology. IV. This is shown to have been offered under Marcus Aurelius</w:t>
      </w:r>
      <w:r>
        <w:fldChar w:fldCharType="begin"/>
      </w:r>
      <w:r>
        <w:instrText xml:space="preserve"> XE "Marcus Aurelius" \f "Persons"</w:instrText>
      </w:r>
      <w:r>
        <w:fldChar w:fldCharType="end"/>
      </w:r>
      <w:r>
        <w:t xml:space="preserve"> and Lucius Verus</w:t>
      </w:r>
      <w:r>
        <w:fldChar w:fldCharType="begin"/>
      </w:r>
      <w:r>
        <w:instrText xml:space="preserve"> XE "Lucius Verus" \f "Persons"</w:instrText>
      </w:r>
      <w:r>
        <w:fldChar w:fldCharType="end"/>
      </w:r>
      <w:r>
        <w:t>.</w:t>
      </w:r>
    </w:p>
    <w:p w14:paraId="7FCB1918" w14:textId="77777777" w:rsidR="005C2B3E" w:rsidRDefault="00000000">
      <w:r>
        <w:t>I. We cannot determine in which year Justin</w:t>
      </w:r>
      <w:r>
        <w:fldChar w:fldCharType="begin"/>
      </w:r>
      <w:r>
        <w:instrText xml:space="preserve"> XE "Justin" \f "Persons"</w:instrText>
      </w:r>
      <w:r>
        <w:fldChar w:fldCharType="end"/>
      </w:r>
      <w:r>
        <w:t xml:space="preserve"> returned to Rome: it is beyond doubt that he stayed in this city while a very severe persecution was raging under Marcus Aurelius. The most excellent emperor had not ordered Christians to be harassed; but, as Athenagoras</w:t>
      </w:r>
      <w:r>
        <w:fldChar w:fldCharType="begin"/>
      </w:r>
      <w:r>
        <w:instrText xml:space="preserve"> XE "Athenagoras" \f "Persons"</w:instrText>
      </w:r>
      <w:r>
        <w:fldChar w:fldCharType="end"/>
      </w:r>
      <w:r>
        <w:t xml:space="preserve"> observes, since he did not repel the wrong done to them, since he did not extend any part of that fatherly care with which he protected all the citizens of the Roman empire to them, they were exposed to all injuries from enemies, and no kind of harm or punishment was lacking from them. This way of acting in the best emperor shows the greatest hatred of the Christian religion; for he would never have withdrawn his protection from them if he had felt any justice toward them. But in him, the evil advice of philosophers and love of Roman ceremonies had more weight than the </w:t>
      </w:r>
      <w:r>
        <w:lastRenderedPageBreak/>
        <w:t>examples of his grandfather and father, and the elements of justice and fairness innate in all. Therefore, since Christians were abandoned with all effort, very severe storms arose against them on all sides. Justin testifies everywhere that if anyone from the Gentiles was accused by a Christian father or neighbor, or son or friend or brother or husband or wife of a crime, he immediately took care to summon his accuser to a capital trial. But if anyone confessed that he was a Christian, the judges had enough reason to condemn him immediately to death.</w:t>
      </w:r>
    </w:p>
    <w:p w14:paraId="2D8EB39E" w14:textId="77777777" w:rsidR="005C2B3E" w:rsidRDefault="00000000">
      <w:pPr>
        <w:ind w:firstLine="360"/>
      </w:pPr>
      <w:r>
        <w:t>II. Certainly, no time should have brought more sorrow to the holy martyr Justin, both because of his outstanding love for the Church, in which he seems to have been wholly aflame, and because, although he had obtained peace for the Church from Antoninus</w:t>
      </w:r>
      <w:r>
        <w:fldChar w:fldCharType="begin"/>
      </w:r>
      <w:r>
        <w:instrText xml:space="preserve"> XE "Antoninus" \f "Persons"</w:instrText>
      </w:r>
      <w:r>
        <w:fldChar w:fldCharType="end"/>
      </w:r>
      <w:r>
        <w:t xml:space="preserve"> to the best of his ability, he saw his efforts overturned by demons. But since he well knew that Christians, while being killed in this way, were passing from wicked masters to the best Father God, he did not hesitate to throw himself into the middle of danger and to summon all the strength of his mind to refute the philosophers who seemed to be the torchbearers of this fire: </w:t>
      </w:r>
      <w:r>
        <w:rPr>
          <w:i/>
        </w:rPr>
        <w:t>Preaching the truth, he accused them of gluttony and deceit</w:t>
      </w:r>
      <w:r>
        <w:t>, as Tatian</w:t>
      </w:r>
      <w:r>
        <w:fldChar w:fldCharType="begin"/>
      </w:r>
      <w:r>
        <w:instrText xml:space="preserve"> XE "Tatian" \f "Persons"</w:instrText>
      </w:r>
      <w:r>
        <w:fldChar w:fldCharType="end"/>
      </w:r>
      <w:r>
        <w:t xml:space="preserve"> testifies, no. 19. Especially with the Cynic Crescens, a man known for all vices, he engaged in a debate before many listeners, and left no doubt to anyone about Crescens’ great ignorance of the things he asserted or his dissimulation of those he knew, since he foresaw, as proved by experience, that this very proud man would at last atone for the wounds he had received with the blood of the victor. The fame of this conversation seems to have spread widely; and Justin himself wonders whether it even reached the ears of the emperor. If the debate was not carried to them, he shows himself ready to pose questions again to Crescens before those listeners. But if those questions and answers were known to them, he does not doubt that they understood Crescens either to know nothing of Christian matters or, if he knew, to be a cowardly dissimulator of what he knew. Thus the debate between Justin and Crescens proceeded: while Crescens publicly declared Christians to be atheists and impious, Justin questioned him; Crescens answered, and Justin refuted his answers so that he accused him either of ignorance or of dissimulation of Christian doctrine. Those who think Crescens was convicted of the greatest ignorance of all things are mistaken. The controversy was not about matters usually debated among philosophers, but about the Christian religion; nor does Justin declare Crescens ignorant of all things, but of </w:t>
      </w:r>
      <w:r>
        <w:rPr>
          <w:i/>
        </w:rPr>
        <w:t>our matters</w:t>
      </w:r>
      <w:r>
        <w:t xml:space="preserve">. Justin did not have only one or two occasions to dispute with Crescens. The battle was repeated often. Crescens did not cease to attack Justin and Tatian. “Which philosophers,” says Tatian, no. 19, “did he not usually attack except us alone?” Eusebius testifies that </w:t>
      </w:r>
      <w:r>
        <w:rPr>
          <w:i/>
        </w:rPr>
        <w:t>Crescens was often defeated by Justin in dialogues before many listeners</w:t>
      </w:r>
      <w:r>
        <w:t xml:space="preserve">, πλεονάκις ἐν Διαλόγοις ἀκροατῶν παρόντων εὐθύνας αὐτόν. </w:t>
      </w:r>
      <w:r>
        <w:rPr>
          <w:i/>
        </w:rPr>
        <w:t>Hist.</w:t>
      </w:r>
      <w:r>
        <w:t>, iv, 16.</w:t>
      </w:r>
    </w:p>
    <w:p w14:paraId="568D7EA7" w14:textId="77777777" w:rsidR="005C2B3E" w:rsidRDefault="00000000">
      <w:pPr>
        <w:ind w:firstLine="360"/>
      </w:pPr>
      <w:r>
        <w:lastRenderedPageBreak/>
        <w:t>III. Besides the common persecution of all Christians, a certain notable example of cruelty took place in Rome, which encouraged Justin</w:t>
      </w:r>
      <w:r>
        <w:fldChar w:fldCharType="begin"/>
      </w:r>
      <w:r>
        <w:instrText xml:space="preserve"> XE "Justin" \f "Persons"</w:instrText>
      </w:r>
      <w:r>
        <w:fldChar w:fldCharType="end"/>
      </w:r>
      <w:r>
        <w:t xml:space="preserve"> to offer a second </w:t>
      </w:r>
      <w:r>
        <w:rPr>
          <w:i/>
        </w:rPr>
        <w:t>Apology</w:t>
      </w:r>
      <w:r>
        <w:t xml:space="preserve"> to the emperor Marcus Aurelius. A Christian woman, having a husband given over to all vices, left nothing untried to bring him back to a sounder mind. But since she brought no hope of a better life, at last the husband repudiated her. He immediately accused her of being a Christian. But the woman obtained from the emperor permission to take care of her household before answering the bail. Then the husband turned his fury against Ptolemaeus, who had instructed his wife in the Christian religion. He arranged with a centurion, who was his friend, to arrest Ptolemaeus and to ask only whether he was a Christian, and if he confessed, to imprison him. The centurion complied. Ptolemaeus confessed to being a Christian, and after long suffering in prison, he was brought before Urbicus the prefect; he confessed again and was condemned to death. Then, as he was being led to execution, a certain Lucius met him and reproached Urbicus for an unjust judgment. The prefect said to him, “You also seem to me to be of this kind of men.” Lucius replied, “Very much so;” and at the prefect’s command, he was taken away together with Ptolemaeus. A third man arriving was subjected to the same punishment. These things are told by the holy martyr in the second </w:t>
      </w:r>
      <w:r>
        <w:rPr>
          <w:i/>
        </w:rPr>
        <w:t>Apology</w:t>
      </w:r>
      <w:r>
        <w:t>, which, although placed first in editions of Justin’s Works, is nevertheless known to be later, so it is pointless to discuss this matter further.</w:t>
      </w:r>
    </w:p>
    <w:p w14:paraId="0D40A6BC" w14:textId="77777777" w:rsidR="005C2B3E" w:rsidRDefault="00000000">
      <w:pPr>
        <w:ind w:firstLine="360"/>
      </w:pPr>
      <w:r>
        <w:t xml:space="preserve">IV. This speech is addressed to the senate; it could have been added, as in the first, </w:t>
      </w:r>
      <w:r>
        <w:rPr>
          <w:i/>
        </w:rPr>
        <w:t>and to the Roman people</w:t>
      </w:r>
      <w:r>
        <w:t>. Justin</w:t>
      </w:r>
      <w:r>
        <w:fldChar w:fldCharType="begin"/>
      </w:r>
      <w:r>
        <w:instrText xml:space="preserve"> XE "Justin" \f "Persons"</w:instrText>
      </w:r>
      <w:r>
        <w:fldChar w:fldCharType="end"/>
      </w:r>
      <w:r>
        <w:t xml:space="preserve"> himself at first addresses the Romans; then he addresses only the emperors: from this it can be gathered that, following the example of the first, it was offered to the emperors </w:t>
      </w:r>
      <w:r>
        <w:rPr>
          <w:i/>
        </w:rPr>
        <w:t>so that they might admit the senate and the Roman people as judges of the petition</w:t>
      </w:r>
      <w:r>
        <w:t xml:space="preserve">, as he says in the first. It is surprising, however, why Justin does not demand in this </w:t>
      </w:r>
      <w:r>
        <w:rPr>
          <w:i/>
        </w:rPr>
        <w:t>Apology</w:t>
      </w:r>
      <w:r>
        <w:t xml:space="preserve"> that Christians have the same rights as other men; why he does not object to the emperors with the letters of Antoninus</w:t>
      </w:r>
      <w:r>
        <w:fldChar w:fldCharType="begin"/>
      </w:r>
      <w:r>
        <w:instrText xml:space="preserve"> XE "Antoninus" \f "Persons"</w:instrText>
      </w:r>
      <w:r>
        <w:fldChar w:fldCharType="end"/>
      </w:r>
      <w:r>
        <w:t xml:space="preserve"> in favor of the Christians. For he had acted thus in the first </w:t>
      </w:r>
      <w:r>
        <w:rPr>
          <w:i/>
        </w:rPr>
        <w:t>Apology</w:t>
      </w:r>
      <w:r>
        <w:t xml:space="preserve">. It seems to me that Justin omitted this not because he thought Marcus would remember the first </w:t>
      </w:r>
      <w:r>
        <w:rPr>
          <w:i/>
        </w:rPr>
        <w:t>Apology</w:t>
      </w:r>
      <w:r>
        <w:t xml:space="preserve"> and there was no need to remind him of it, but because he thought the ill-disposed mind of Marcus should be dealt with gently, and that the memory of Antoninus’ laws and examples, from which the wise and knowledgeable departed, should not be offended. Therefore, he acts with him as if there were no fault on his part, and no persecution raged by any order. He asks only this one thing from the emperors, that they approve this petition by their authority; for then he will show it to all: since his purpose was that those who do not know Christians, yet are not excusable for harassing them, might be freed from this ignorance of good things and escape the ruin they bring upon themselves. It may be doubted whether Justin asks that, after sending a written petition to the judges, the petition be made public. For these words can be taken in this sense, προθεῖναι τουτὶ τὸ βιβλίδιον, ἐὰν τοῦτο προγράφητε. But Justin himself seems </w:t>
      </w:r>
      <w:r>
        <w:lastRenderedPageBreak/>
        <w:t xml:space="preserve">to reveal his intention; he explains the reason for making the petition public with these words, ὑπογράψαντας τὸ ὑμῖν δοκοῦν, </w:t>
      </w:r>
      <w:r>
        <w:rPr>
          <w:i/>
        </w:rPr>
        <w:t>subscribing what seems good to you</w:t>
      </w:r>
      <w:r>
        <w:t>. If they make the petition public in this way, he himself will show it to all. Ἐὰν δὲ ὑμεῖς τοῦτο προγράψητε, ἡμεῖς τοῖς πᾶσι φανερὸν ποιήσαιμεν. “If you make it public [</w:t>
      </w:r>
      <w:r>
        <w:rPr>
          <w:i/>
        </w:rPr>
        <w:t>subscribing what seems good to you</w:t>
      </w:r>
      <w:r>
        <w:t>], we will make it known to all.”</w:t>
      </w:r>
    </w:p>
    <w:p w14:paraId="04493A84" w14:textId="77777777" w:rsidR="005C2B3E" w:rsidRDefault="00000000">
      <w:pPr>
        <w:ind w:firstLine="360"/>
      </w:pPr>
      <w:r>
        <w:t xml:space="preserve">As to which emperor the </w:t>
      </w:r>
      <w:r>
        <w:rPr>
          <w:i/>
        </w:rPr>
        <w:t>Apology</w:t>
      </w:r>
      <w:r>
        <w:t xml:space="preserve"> was offered, Antoninus</w:t>
      </w:r>
      <w:r>
        <w:fldChar w:fldCharType="begin"/>
      </w:r>
      <w:r>
        <w:instrText xml:space="preserve"> XE "Antoninus" \f "Persons"</w:instrText>
      </w:r>
      <w:r>
        <w:fldChar w:fldCharType="end"/>
      </w:r>
      <w:r>
        <w:t xml:space="preserve"> or Marcus</w:t>
      </w:r>
      <w:r>
        <w:fldChar w:fldCharType="begin"/>
      </w:r>
      <w:r>
        <w:instrText xml:space="preserve"> XE "Marcus" \f "Persons"</w:instrText>
      </w:r>
      <w:r>
        <w:fldChar w:fldCharType="end"/>
      </w:r>
      <w:r>
        <w:t xml:space="preserve"> Aurelius, some scholars have brought this into controversy. Valesius argues that it was offered to Antoninus; those who hold the opinion that Justin</w:t>
      </w:r>
      <w:r>
        <w:fldChar w:fldCharType="begin"/>
      </w:r>
      <w:r>
        <w:instrText xml:space="preserve"> XE "Justin" \f "Persons"</w:instrText>
      </w:r>
      <w:r>
        <w:fldChar w:fldCharType="end"/>
      </w:r>
      <w:r>
        <w:t xml:space="preserve"> suffered under Antoninus feel the need to maintain this view. Papebrochius, on April 13, to whom Scaliger had preceded in notes on Eusebius</w:t>
      </w:r>
      <w:r>
        <w:fldChar w:fldCharType="begin"/>
      </w:r>
      <w:r>
        <w:instrText xml:space="preserve"> XE "Eusebius" \f "Persons"</w:instrText>
      </w:r>
      <w:r>
        <w:fldChar w:fldCharType="end"/>
      </w:r>
      <w:r>
        <w:t xml:space="preserve">’ Chronicle, p. 219, suggests that Justin offered the </w:t>
      </w:r>
      <w:r>
        <w:rPr>
          <w:i/>
        </w:rPr>
        <w:t>Apology</w:t>
      </w:r>
      <w:r>
        <w:t xml:space="preserve"> to Marcus Aurelius, but today denies that it still exists; and that the one now in our hands is nothing other than a preface prefixed by Justin to the greater </w:t>
      </w:r>
      <w:r>
        <w:rPr>
          <w:i/>
        </w:rPr>
        <w:t>Apology</w:t>
      </w:r>
      <w:r>
        <w:t xml:space="preserve"> which he offered to Antoninus.</w:t>
      </w:r>
    </w:p>
    <w:p w14:paraId="0856809F" w14:textId="77777777" w:rsidR="005C2B3E" w:rsidRDefault="00000000">
      <w:pPr>
        <w:ind w:firstLine="360"/>
      </w:pPr>
      <w:r>
        <w:t>These opinions clash with the testimony of Eusebius</w:t>
      </w:r>
      <w:r>
        <w:fldChar w:fldCharType="begin"/>
      </w:r>
      <w:r>
        <w:instrText xml:space="preserve"> XE "Eusebius" \f "Persons"</w:instrText>
      </w:r>
      <w:r>
        <w:fldChar w:fldCharType="end"/>
      </w:r>
      <w:r>
        <w:t>, who clearly states that Justin</w:t>
      </w:r>
      <w:r>
        <w:fldChar w:fldCharType="begin"/>
      </w:r>
      <w:r>
        <w:instrText xml:space="preserve"> XE "Justin" \f "Persons"</w:instrText>
      </w:r>
      <w:r>
        <w:fldChar w:fldCharType="end"/>
      </w:r>
      <w:r>
        <w:t xml:space="preserve"> pleaded the cause of the Church before Emperor Marcus Aurelius, and from that </w:t>
      </w:r>
      <w:r>
        <w:rPr>
          <w:i/>
        </w:rPr>
        <w:t>Apology</w:t>
      </w:r>
      <w:r>
        <w:t xml:space="preserve"> he quotes what we read in this one; also from the internal marks of judgment drawn from the speech itself. For first, Justin in this second </w:t>
      </w:r>
      <w:r>
        <w:rPr>
          <w:i/>
        </w:rPr>
        <w:t>Apology</w:t>
      </w:r>
      <w:r>
        <w:t xml:space="preserve"> touches on many things he had already dealt with elsewhere, weaving in the words ὡς προέφημεν, </w:t>
      </w:r>
      <w:r>
        <w:rPr>
          <w:i/>
        </w:rPr>
        <w:t>as we have already said</w:t>
      </w:r>
      <w:r>
        <w:t>, as when he speaks of the Incarnation of Christ, no. 6, or of Heraclitus</w:t>
      </w:r>
      <w:r>
        <w:fldChar w:fldCharType="begin"/>
      </w:r>
      <w:r>
        <w:instrText xml:space="preserve"> XE "Heraclitus" \f "Persons"</w:instrText>
      </w:r>
      <w:r>
        <w:fldChar w:fldCharType="end"/>
      </w:r>
      <w:r>
        <w:t xml:space="preserve">, no. 8, or of the creation of the world for the sake of men, no. 4. If this </w:t>
      </w:r>
      <w:r>
        <w:rPr>
          <w:i/>
        </w:rPr>
        <w:t>Apology</w:t>
      </w:r>
      <w:r>
        <w:t xml:space="preserve"> was some kind of preface to a greater one, Justin should have said </w:t>
      </w:r>
      <w:r>
        <w:rPr>
          <w:i/>
        </w:rPr>
        <w:t>as we will now say</w:t>
      </w:r>
      <w:r>
        <w:t xml:space="preserve">, and not </w:t>
      </w:r>
      <w:r>
        <w:rPr>
          <w:i/>
        </w:rPr>
        <w:t>as we have already said</w:t>
      </w:r>
      <w:r>
        <w:t xml:space="preserve">. The reason why Justin, citing the first </w:t>
      </w:r>
      <w:r>
        <w:rPr>
          <w:i/>
        </w:rPr>
        <w:t>Apology</w:t>
      </w:r>
      <w:r>
        <w:t xml:space="preserve">, uses only these words, </w:t>
      </w:r>
      <w:r>
        <w:rPr>
          <w:i/>
        </w:rPr>
        <w:t>as we have already said</w:t>
      </w:r>
      <w:r>
        <w:t xml:space="preserve">, without naming the work in which he had treated these things, was this: the first </w:t>
      </w:r>
      <w:r>
        <w:rPr>
          <w:i/>
        </w:rPr>
        <w:t>Apology</w:t>
      </w:r>
      <w:r>
        <w:t xml:space="preserve"> was not lying in silence and oblivion, but was kept in public archives and stuck in the minds of people, especially of Emperor Marcus Aurelius, who could not be unaware that Antoninus</w:t>
      </w:r>
      <w:r>
        <w:fldChar w:fldCharType="begin"/>
      </w:r>
      <w:r>
        <w:instrText xml:space="preserve"> XE "Antoninus" \f "Persons"</w:instrText>
      </w:r>
      <w:r>
        <w:fldChar w:fldCharType="end"/>
      </w:r>
      <w:r>
        <w:t xml:space="preserve"> had kindly and generously granted favor to Justin. For the same reason he did not inscribe his name on the short </w:t>
      </w:r>
      <w:r>
        <w:rPr>
          <w:i/>
        </w:rPr>
        <w:t>Apology</w:t>
      </w:r>
      <w:r>
        <w:t>, although he had not omitted it on the greater one; because it was well known then both from that very work, which had such desired success, and from the reputation he had gained among learned philosophers through his disputations.</w:t>
      </w:r>
    </w:p>
    <w:p w14:paraId="7990FCBF" w14:textId="77777777" w:rsidR="005C2B3E" w:rsidRDefault="00000000">
      <w:pPr>
        <w:ind w:firstLine="360"/>
      </w:pPr>
      <w:r>
        <w:t xml:space="preserve">2º When Justin offered the short </w:t>
      </w:r>
      <w:r>
        <w:rPr>
          <w:i/>
        </w:rPr>
        <w:t>Apology</w:t>
      </w:r>
      <w:r>
        <w:t>, already then the hatred of Crescens against him was boiling; day by day he awaited the day to be called by Crescens to a trial for his life, no. 4, and his expectation did not deceive him, as Eusebius</w:t>
      </w:r>
      <w:r>
        <w:fldChar w:fldCharType="begin"/>
      </w:r>
      <w:r>
        <w:instrText xml:space="preserve"> XE "Eusebius" \f "Persons"</w:instrText>
      </w:r>
      <w:r>
        <w:fldChar w:fldCharType="end"/>
      </w:r>
      <w:r>
        <w:t xml:space="preserve"> testifies, book iv, chapter 16. Therefore, from this </w:t>
      </w:r>
      <w:r>
        <w:rPr>
          <w:i/>
        </w:rPr>
        <w:t>Apology</w:t>
      </w:r>
      <w:r>
        <w:t xml:space="preserve"> until Justin’s death, not only time, but many events in Justin’s life could have passed, as from the first.</w:t>
      </w:r>
    </w:p>
    <w:p w14:paraId="4A3D12F0" w14:textId="77777777" w:rsidR="005C2B3E" w:rsidRDefault="00000000">
      <w:pPr>
        <w:ind w:firstLine="360"/>
      </w:pPr>
      <w:r>
        <w:t xml:space="preserve">3º If both </w:t>
      </w:r>
      <w:r>
        <w:rPr>
          <w:i/>
        </w:rPr>
        <w:t>Apologies</w:t>
      </w:r>
      <w:r>
        <w:t xml:space="preserve"> are separate and distinct works, as is clear from the reasons brought forward, we must admit that one was written under Antoninus</w:t>
      </w:r>
      <w:r>
        <w:fldChar w:fldCharType="begin"/>
      </w:r>
      <w:r>
        <w:instrText xml:space="preserve"> XE "Antoninus" \f "Persons"</w:instrText>
      </w:r>
      <w:r>
        <w:fldChar w:fldCharType="end"/>
      </w:r>
      <w:r>
        <w:t xml:space="preserve">, the other </w:t>
      </w:r>
      <w:r>
        <w:lastRenderedPageBreak/>
        <w:t>under Marcus Aurelius</w:t>
      </w:r>
      <w:r>
        <w:fldChar w:fldCharType="begin"/>
      </w:r>
      <w:r>
        <w:instrText xml:space="preserve"> XE "Marcus Aurelius" \f "Persons"</w:instrText>
      </w:r>
      <w:r>
        <w:fldChar w:fldCharType="end"/>
      </w:r>
      <w:r>
        <w:t xml:space="preserve">. For it is not likely that the edict sent by Antoninus to all the provinces, the most just one, was so despised and violated in Rome under the eyes of the same emperor that Justin was forced to offer a new </w:t>
      </w:r>
      <w:r>
        <w:rPr>
          <w:i/>
        </w:rPr>
        <w:t>Apology</w:t>
      </w:r>
      <w:r>
        <w:t>.</w:t>
      </w:r>
    </w:p>
    <w:p w14:paraId="240C5C3A" w14:textId="77777777" w:rsidR="005C2B3E" w:rsidRDefault="00000000">
      <w:pPr>
        <w:ind w:firstLine="360"/>
      </w:pPr>
      <w:r>
        <w:t xml:space="preserve">4º It is clear that between the two </w:t>
      </w:r>
      <w:r>
        <w:rPr>
          <w:i/>
        </w:rPr>
        <w:t>Apologies</w:t>
      </w:r>
      <w:r>
        <w:t xml:space="preserve"> there is a difference not only in subject matter but also in time. For Justin</w:t>
      </w:r>
      <w:r>
        <w:fldChar w:fldCharType="begin"/>
      </w:r>
      <w:r>
        <w:instrText xml:space="preserve"> XE "Justin" \f "Persons"</w:instrText>
      </w:r>
      <w:r>
        <w:fldChar w:fldCharType="end"/>
      </w:r>
      <w:r>
        <w:t xml:space="preserve"> shows more pain and spirit in the second than in the first, which is quite evident from the beginning of each. He recalls more cruel crimes against Christians; and while in the first he said that no Christian had confessed to the crimes charged against that name, but if anyone was condemned for a crime, it was not as a Christian condemned; in the second he tells that the pagans burned with such fury that they forced Christian slaves, boys, or little girls to confess those false crimes under the most severe tortures. Such hostile times for Christians do not smell of Antoninus</w:t>
      </w:r>
      <w:r>
        <w:fldChar w:fldCharType="begin"/>
      </w:r>
      <w:r>
        <w:instrText xml:space="preserve"> XE "Antoninus" \f "Persons"</w:instrText>
      </w:r>
      <w:r>
        <w:fldChar w:fldCharType="end"/>
      </w:r>
      <w:r>
        <w:t>, who favored them, but of the reign of Marcus Aurelius, who, though provoked even by the greatest kindness, showed himself fair to them.</w:t>
      </w:r>
    </w:p>
    <w:p w14:paraId="093AEB26" w14:textId="77777777" w:rsidR="005C2B3E" w:rsidRDefault="00000000">
      <w:pPr>
        <w:ind w:firstLine="360"/>
      </w:pPr>
      <w:r>
        <w:t xml:space="preserve">Emperor Lucius, colleague of Marcus, is referred to in the same way in this </w:t>
      </w:r>
      <w:r>
        <w:rPr>
          <w:i/>
        </w:rPr>
        <w:t>Apology</w:t>
      </w:r>
      <w:r>
        <w:t xml:space="preserve"> as in the first. For thus Lucius the martyr addresses Urbicus: “You do not judge as a proper pious emperor, not as the philosopher son of Caesar, not as the most sacred senate, Urbicus.” If we cannot recognize Lucius in these words, then in the title “Pius,” which is given to the other emperor, it is not Antoninus who should be recognized, but Marcus, to whom, although the senate had not yet granted this honorary title, it should not seem strange or improper if it was given to him by private individuals such as Lucius and Justin.</w:t>
      </w:r>
    </w:p>
    <w:p w14:paraId="345BCE9F" w14:textId="77777777" w:rsidR="005C2B3E" w:rsidRDefault="00000000">
      <w:pPr>
        <w:ind w:firstLine="360"/>
      </w:pPr>
      <w:r>
        <w:t xml:space="preserve">Only one emperor is addressed in this </w:t>
      </w:r>
      <w:r>
        <w:rPr>
          <w:i/>
        </w:rPr>
        <w:t>Apology</w:t>
      </w:r>
      <w:r>
        <w:t>, where it is said about a woman summoned to trial by her husband: “And indeed she, with a little note presented to you, emperor, requested that she be allowed to look after her own home first. And you indeed agreed to that.” From this Valesius</w:t>
      </w:r>
      <w:r>
        <w:fldChar w:fldCharType="begin"/>
      </w:r>
      <w:r>
        <w:instrText xml:space="preserve"> XE "Valesius" \f "Persons"</w:instrText>
      </w:r>
      <w:r>
        <w:fldChar w:fldCharType="end"/>
      </w:r>
      <w:r>
        <w:t xml:space="preserve"> concludes that this </w:t>
      </w:r>
      <w:r>
        <w:rPr>
          <w:i/>
        </w:rPr>
        <w:t>Apology</w:t>
      </w:r>
      <w:r>
        <w:t xml:space="preserve"> was offered to Antoninus</w:t>
      </w:r>
      <w:r>
        <w:fldChar w:fldCharType="begin"/>
      </w:r>
      <w:r>
        <w:instrText xml:space="preserve"> XE "Antoninus" \f "Persons"</w:instrText>
      </w:r>
      <w:r>
        <w:fldChar w:fldCharType="end"/>
      </w:r>
      <w:r>
        <w:t>; but this is entirely undeserved. For Justin</w:t>
      </w:r>
      <w:r>
        <w:fldChar w:fldCharType="begin"/>
      </w:r>
      <w:r>
        <w:instrText xml:space="preserve"> XE "Justin" \f "Persons"</w:instrText>
      </w:r>
      <w:r>
        <w:fldChar w:fldCharType="end"/>
      </w:r>
      <w:r>
        <w:t xml:space="preserve">, in sections 3, 14 and 15, addresses several emperors, as those invested with royal power. Likewise, in the </w:t>
      </w:r>
      <w:r>
        <w:rPr>
          <w:i/>
        </w:rPr>
        <w:t>Acts of St. Justin</w:t>
      </w:r>
      <w:r>
        <w:t xml:space="preserve">, the prefect says to Justin, section 1: “First believe in the gods and obey the emperors.” Yet he mentions only one when he pronounces the death sentence: “Those who refused to sacrifice to the gods and obey the emperor’s command shall be beaten with a whip and led to capital punishment.” Therefore, it seems that sometimes one emperor, sometimes several, were usually named; and so it is not necessary, with Tillemont, to suspect that this </w:t>
      </w:r>
      <w:r>
        <w:rPr>
          <w:i/>
        </w:rPr>
        <w:t>Apology</w:t>
      </w:r>
      <w:r>
        <w:t xml:space="preserve"> was offered either before Lucius’s return from the East or after his death.</w:t>
      </w:r>
    </w:p>
    <w:p w14:paraId="41127DFB" w14:textId="77777777" w:rsidR="005C2B3E" w:rsidRDefault="00000000">
      <w:pPr>
        <w:ind w:firstLine="360"/>
      </w:pPr>
      <w:r>
        <w:t>Valesius</w:t>
      </w:r>
      <w:r>
        <w:fldChar w:fldCharType="begin"/>
      </w:r>
      <w:r>
        <w:instrText xml:space="preserve"> XE "Valesius" \f "Persons"</w:instrText>
      </w:r>
      <w:r>
        <w:fldChar w:fldCharType="end"/>
      </w:r>
      <w:r>
        <w:t xml:space="preserve"> repeats another argument from the name Urbicus</w:t>
      </w:r>
      <w:r>
        <w:fldChar w:fldCharType="begin"/>
      </w:r>
      <w:r>
        <w:instrText xml:space="preserve"> XE "Urbicus" \f "Persons"</w:instrText>
      </w:r>
      <w:r>
        <w:fldChar w:fldCharType="end"/>
      </w:r>
      <w:r>
        <w:t>, whom he claims was prefect of the City under Antoninus</w:t>
      </w:r>
      <w:r>
        <w:fldChar w:fldCharType="begin"/>
      </w:r>
      <w:r>
        <w:instrText xml:space="preserve"> XE "Antoninus" \f "Persons"</w:instrText>
      </w:r>
      <w:r>
        <w:fldChar w:fldCharType="end"/>
      </w:r>
      <w:r>
        <w:t xml:space="preserve"> from the </w:t>
      </w:r>
      <w:r>
        <w:rPr>
          <w:i/>
        </w:rPr>
        <w:t>Apology</w:t>
      </w:r>
      <w:r>
        <w:t xml:space="preserve"> offered to Antoninus by Apuleius</w:t>
      </w:r>
      <w:r>
        <w:fldChar w:fldCharType="begin"/>
      </w:r>
      <w:r>
        <w:instrText xml:space="preserve"> XE "Apuleius" \f "Persons"</w:instrText>
      </w:r>
      <w:r>
        <w:fldChar w:fldCharType="end"/>
      </w:r>
      <w:r>
        <w:t>. But besides the fact that he who condemned the martyrs mentioned in Justin</w:t>
      </w:r>
      <w:r>
        <w:fldChar w:fldCharType="begin"/>
      </w:r>
      <w:r>
        <w:instrText xml:space="preserve"> XE "Justin" \f "Persons"</w:instrText>
      </w:r>
      <w:r>
        <w:fldChar w:fldCharType="end"/>
      </w:r>
      <w:r>
        <w:t xml:space="preserve">’s </w:t>
      </w:r>
      <w:r>
        <w:rPr>
          <w:i/>
        </w:rPr>
        <w:t>Apology</w:t>
      </w:r>
      <w:r>
        <w:t xml:space="preserve"> could have been a praetorian prefect, nothing prevents him from </w:t>
      </w:r>
      <w:r>
        <w:lastRenderedPageBreak/>
        <w:t xml:space="preserve">having been prefect of the City under both Antoninus and Marcus. The </w:t>
      </w:r>
      <w:r>
        <w:rPr>
          <w:i/>
        </w:rPr>
        <w:t>Apology</w:t>
      </w:r>
      <w:r>
        <w:t xml:space="preserve"> of Apuleius, as Tillemont notes, was written rather under Marcus than under Antoninus, whom he calls divine.</w:t>
      </w:r>
    </w:p>
    <w:p w14:paraId="7D77E650" w14:textId="77777777" w:rsidR="005C2B3E" w:rsidRDefault="00000000">
      <w:pPr>
        <w:pStyle w:val="Heading3"/>
      </w:pPr>
      <w:r>
        <w:t>CHAPTER 9</w:t>
      </w:r>
    </w:p>
    <w:p w14:paraId="7BCB8CFC" w14:textId="77777777" w:rsidR="005C2B3E" w:rsidRDefault="00000000">
      <w:pPr>
        <w:pStyle w:val="Heading4"/>
      </w:pPr>
      <w:r>
        <w:t>ON THE MARTYRDOM OF JUSTIN</w:t>
      </w:r>
    </w:p>
    <w:p w14:paraId="4AEC9E8D" w14:textId="77777777" w:rsidR="005C2B3E" w:rsidRDefault="00000000">
      <w:pPr>
        <w:spacing w:before="180" w:after="0"/>
        <w:ind w:left="720" w:right="320" w:hanging="360"/>
      </w:pPr>
      <w:r>
        <w:t>On Justin</w:t>
      </w:r>
      <w:r>
        <w:fldChar w:fldCharType="begin"/>
      </w:r>
      <w:r>
        <w:instrText xml:space="preserve"> XE "Justin" \f "Persons"</w:instrText>
      </w:r>
      <w:r>
        <w:fldChar w:fldCharType="end"/>
      </w:r>
      <w:r>
        <w:t>’s steadfastness in opposing the philosophers. II. He predicts that they will plot against him, and this happens. III. On the time and Acts of the martyrdom.</w:t>
      </w:r>
    </w:p>
    <w:p w14:paraId="728B5C90" w14:textId="77777777" w:rsidR="005C2B3E" w:rsidRDefault="00000000">
      <w:r>
        <w:t>I. Nothing could have been more desirable for Justin</w:t>
      </w:r>
      <w:r>
        <w:fldChar w:fldCharType="begin"/>
      </w:r>
      <w:r>
        <w:instrText xml:space="preserve"> XE "Justin" \f "Persons"</w:instrText>
      </w:r>
      <w:r>
        <w:fldChar w:fldCharType="end"/>
      </w:r>
      <w:r>
        <w:t xml:space="preserve"> than, after so many labors and dangers, to pour out his very life for Christ. The steadfastness of Christians in enduring tortures had largely moved him to embrace the Christian religion, and it had convinced him that they were innocent and pure of the crimes falsely charged against them. In defending the religion, he often used this argument—that the steadfastness of Christians in enduring tortures shows the difference between the new and the old law, and proves that the covenant God once promised has been fulfilled and is visible to all. In a word, the whole life of Justin was a kind of meditation on martyrdom. He never missed an opportunity to teach the truth, always hoping to find good ground, and fearing God’s judgment if he stood in the way of anyone coming to the knowledge of the truth. Fearless of anyone, even if he had to be torn apart limb by limb, he had only one zeal: to speak the truth in all things. When he offered the </w:t>
      </w:r>
      <w:r>
        <w:rPr>
          <w:i/>
        </w:rPr>
        <w:t>Apology</w:t>
      </w:r>
      <w:r>
        <w:t xml:space="preserve"> on behalf of the brothers, and boldly asked to give testimony before the </w:t>
      </w:r>
      <w:r>
        <w:rPr>
          <w:i/>
        </w:rPr>
        <w:t>Acts</w:t>
      </w:r>
      <w:r>
        <w:t>, besides the danger that threatened them from this noble action, he threw himself into another, openly and plainly accusing the Samaritans, a wicked people ready for every crime, because they gave the title and honor of the highest God to a magician.</w:t>
      </w:r>
    </w:p>
    <w:p w14:paraId="676AFC3E" w14:textId="77777777" w:rsidR="005C2B3E" w:rsidRDefault="00000000">
      <w:pPr>
        <w:ind w:firstLine="360"/>
      </w:pPr>
      <w:r>
        <w:t>But I do not know whether Justin</w:t>
      </w:r>
      <w:r>
        <w:fldChar w:fldCharType="begin"/>
      </w:r>
      <w:r>
        <w:instrText xml:space="preserve"> XE "Justin" \f "Persons"</w:instrText>
      </w:r>
      <w:r>
        <w:fldChar w:fldCharType="end"/>
      </w:r>
      <w:r>
        <w:t xml:space="preserve"> showed the greatest example of a fearless spirit when he attacked the philosophers. These men, while stirring up the emperor’s mind against the Christians, and gathering authority under the name of philosophy and the appearance of virtues with the most unjust accusations, Justin stripped off their skin and showed that they were inwardly very shameful, given over to deceit and gluttony. Therefore, at that time, when anywhere in the world someone accused of crimes by a Christian easily removed the troublemaker by naming him, it was to be expected that Justin would be called to judgment by those he had accused. Thus he reveals his own mind in </w:t>
      </w:r>
      <w:r>
        <w:rPr>
          <w:i/>
        </w:rPr>
        <w:t>Apology</w:t>
      </w:r>
      <w:r>
        <w:t xml:space="preserve"> 2, number 3: “I also expect to be attacked by some plot from those I mentioned and to be nailed to a stake, or certainly by that Crescens, lover of noise and show.”</w:t>
      </w:r>
    </w:p>
    <w:p w14:paraId="0E5BC126" w14:textId="77777777" w:rsidR="005C2B3E" w:rsidRDefault="00000000">
      <w:pPr>
        <w:ind w:firstLine="360"/>
      </w:pPr>
      <w:r>
        <w:lastRenderedPageBreak/>
        <w:t>II. Among the various tortures that were usually inflicted on Christians, Justin</w:t>
      </w:r>
      <w:r>
        <w:fldChar w:fldCharType="begin"/>
      </w:r>
      <w:r>
        <w:instrText xml:space="preserve"> XE "Justin" \f "Persons"</w:instrText>
      </w:r>
      <w:r>
        <w:fldChar w:fldCharType="end"/>
      </w:r>
      <w:r>
        <w:t xml:space="preserve"> points to one, the </w:t>
      </w:r>
      <w:r>
        <w:rPr>
          <w:i/>
        </w:rPr>
        <w:t>stake</w:t>
      </w:r>
      <w:r>
        <w:t>, to indicate generally that he expected to lose his life by the plots of his enemies. Thus Tertullian</w:t>
      </w:r>
      <w:r>
        <w:fldChar w:fldCharType="begin"/>
      </w:r>
      <w:r>
        <w:instrText xml:space="preserve"> XE "Tertullian" \f "Persons"</w:instrText>
      </w:r>
      <w:r>
        <w:fldChar w:fldCharType="end"/>
      </w:r>
      <w:r>
        <w:t xml:space="preserve">, calling various tortures by one name, namely fire, says: “Moreover, if from conscience, by which we agree that the name of God and Lord and Father and Son and Spirit is true, we were to call gods and lords, we would have extinguished our torches even more timidly at martyrdoms, where there was also an opportunity to escape by swearing immediately by gods and lords, as some heretics do, whose gods are many.” The same thing is done here by Justin; he indicates that martyrdom is expected by him and names one or another of many tortures. For they were accustomed to be tied to a stake and burned by fire, as I have noted in the commentary on this passage, and others were handed over to beasts. Hence Tertullian, in the book </w:t>
      </w:r>
      <w:r>
        <w:rPr>
          <w:i/>
        </w:rPr>
        <w:t>On Chastity</w:t>
      </w:r>
      <w:r>
        <w:t xml:space="preserve">, chapter 22, speaks thus: “Imagine now under the sword, the head balanced; imagine on the gibbet, the head already extended; imagine on the stake, already given to the lion; imagine on the wheel, already set on fire; I say, in the very security and possession of martyrdom, who allows a man to give away what should be reserved for God?” On the very wheel, those who were to be burned were tied to the stake, as is clear from another testimony of Tertullian, which I have mentioned in the commentary. See </w:t>
      </w:r>
      <w:r>
        <w:rPr>
          <w:i/>
        </w:rPr>
        <w:t>Acts of St</w:t>
      </w:r>
      <w:r>
        <w:fldChar w:fldCharType="begin"/>
      </w:r>
      <w:r>
        <w:instrText xml:space="preserve"> XE "St" \f "Persons"</w:instrText>
      </w:r>
      <w:r>
        <w:fldChar w:fldCharType="end"/>
      </w:r>
      <w:r>
        <w:rPr>
          <w:i/>
        </w:rPr>
        <w:t>. Polycarp</w:t>
      </w:r>
      <w:r>
        <w:fldChar w:fldCharType="begin"/>
      </w:r>
      <w:r>
        <w:instrText xml:space="preserve"> XE "Polycarp" \f "Persons"</w:instrText>
      </w:r>
      <w:r>
        <w:fldChar w:fldCharType="end"/>
      </w:r>
      <w:r>
        <w:t xml:space="preserve">, number 14, and </w:t>
      </w:r>
      <w:r>
        <w:rPr>
          <w:i/>
        </w:rPr>
        <w:t>St. Philip of Heraclea</w:t>
      </w:r>
      <w:r>
        <w:fldChar w:fldCharType="begin"/>
      </w:r>
      <w:r>
        <w:instrText xml:space="preserve"> XE "Philip of Heraclea" \f "Persons"</w:instrText>
      </w:r>
      <w:r>
        <w:fldChar w:fldCharType="end"/>
      </w:r>
      <w:r>
        <w:t>, number 13. Eusebius</w:t>
      </w:r>
      <w:r>
        <w:fldChar w:fldCharType="begin"/>
      </w:r>
      <w:r>
        <w:instrText xml:space="preserve"> XE "Eusebius" \f "Persons"</w:instrText>
      </w:r>
      <w:r>
        <w:fldChar w:fldCharType="end"/>
      </w:r>
      <w:r>
        <w:t xml:space="preserve"> understood Justin’s words no differently; to prove that what Justin had foreseen happened as he predicted, he asserts that Justin was crowned by martyrdom, and he uses the testimony of Tatian</w:t>
      </w:r>
      <w:r>
        <w:fldChar w:fldCharType="begin"/>
      </w:r>
      <w:r>
        <w:instrText xml:space="preserve"> XE "Tatian" \f "Persons"</w:instrText>
      </w:r>
      <w:r>
        <w:fldChar w:fldCharType="end"/>
      </w:r>
      <w:r>
        <w:t>, who says only that Crescens plotted the death of Justin. From this it is clear that the words τῷ ξύλῳ ἐμπαγῆναι certainly mean death, not just scourging or flogging; and the type of punishment is named as an example, so that martyrdom is indicated in general.</w:t>
      </w:r>
    </w:p>
    <w:p w14:paraId="710D947C" w14:textId="77777777" w:rsidR="005C2B3E" w:rsidRDefault="00000000">
      <w:pPr>
        <w:ind w:firstLine="360"/>
      </w:pPr>
      <w:r>
        <w:t>Tertullian</w:t>
      </w:r>
      <w:r>
        <w:fldChar w:fldCharType="begin"/>
      </w:r>
      <w:r>
        <w:instrText xml:space="preserve"> XE "Tertullian" \f "Persons"</w:instrText>
      </w:r>
      <w:r>
        <w:fldChar w:fldCharType="end"/>
      </w:r>
      <w:r>
        <w:t xml:space="preserve"> mentions Marcus</w:t>
      </w:r>
      <w:r>
        <w:fldChar w:fldCharType="begin"/>
      </w:r>
      <w:r>
        <w:instrText xml:space="preserve"> XE "Marcus" \f "Persons"</w:instrText>
      </w:r>
      <w:r>
        <w:fldChar w:fldCharType="end"/>
      </w:r>
      <w:r>
        <w:t xml:space="preserve"> Aurelius, </w:t>
      </w:r>
      <w:r>
        <w:rPr>
          <w:i/>
        </w:rPr>
        <w:t>Apology</w:t>
      </w:r>
      <w:r>
        <w:t>, chapter 5, among those emperors from whom laws against Christians were not enacted. Yet it seems that he either gave secret orders to judges to force Christians to sacrifice, or at least hoped that the judges would be favorable to him if they said they had such orders from him. For thus Rusticus</w:t>
      </w:r>
      <w:r>
        <w:fldChar w:fldCharType="begin"/>
      </w:r>
      <w:r>
        <w:instrText xml:space="preserve"> XE "Rusticus" \f "Persons"</w:instrText>
      </w:r>
      <w:r>
        <w:fldChar w:fldCharType="end"/>
      </w:r>
      <w:r>
        <w:t>, the prefect, said to Justin: Πρῶτον πείσθητι τοῖς θεοῖς καὶ ὑπάκουσον τοῖς βασιλεῦσιν: “First believe in the gods and obey the emperors.” After he noticed that Justin and his companions were resisting, he ordered that those who refused to sacrifice to the gods and obey the emperor’s command, τῷ τοῦ αὐτοκράτορος προστάγματι, be led away to capital punishment.</w:t>
      </w:r>
    </w:p>
    <w:p w14:paraId="31065667" w14:textId="77777777" w:rsidR="005C2B3E" w:rsidRDefault="00000000">
      <w:pPr>
        <w:ind w:firstLine="360"/>
      </w:pPr>
      <w:r>
        <w:t>Under an emperor so hostile to Christians, it was enough to bear the name Christian to be immediately killed if one confessed to being a Christian. However, it seems that Crescens had more trouble in killing Justin than if he had attacked just one among many. For Tatian</w:t>
      </w:r>
      <w:r>
        <w:fldChar w:fldCharType="begin"/>
      </w:r>
      <w:r>
        <w:instrText xml:space="preserve"> XE "Tatian" \f "Persons"</w:instrText>
      </w:r>
      <w:r>
        <w:fldChar w:fldCharType="end"/>
      </w:r>
      <w:r>
        <w:t xml:space="preserve"> indicates a certain plot and secret schemes when he says that Crescens “plotted the death of Justin as if it were a great evil,” ὡς καὶ Ἰουστῖνον καθάπερ μεγάλῳ κακῷ τῷ θανάτῳ περιβαλεῖν πραγματεύσασθαι. Perhaps the </w:t>
      </w:r>
      <w:r>
        <w:lastRenderedPageBreak/>
        <w:t>reputation of virtue and learning had gained some favor for Justin, and it made the minds of the emperor and judges slower to remove such a man, whom they knew to be a Christian, from the scene.</w:t>
      </w:r>
    </w:p>
    <w:p w14:paraId="5B2D82E9" w14:textId="77777777" w:rsidR="005C2B3E" w:rsidRDefault="00000000">
      <w:pPr>
        <w:ind w:firstLine="360"/>
      </w:pPr>
      <w:r>
        <w:t>III. Eusebius</w:t>
      </w:r>
      <w:r>
        <w:fldChar w:fldCharType="begin"/>
      </w:r>
      <w:r>
        <w:instrText xml:space="preserve"> XE "Eusebius" \f "Persons"</w:instrText>
      </w:r>
      <w:r>
        <w:fldChar w:fldCharType="end"/>
      </w:r>
      <w:r>
        <w:t xml:space="preserve"> testifies that the martyrdom of Justin followed shortly after the second </w:t>
      </w:r>
      <w:r>
        <w:rPr>
          <w:i/>
        </w:rPr>
        <w:t>Apology</w:t>
      </w:r>
      <w:r>
        <w:t xml:space="preserve">. For he says that in this </w:t>
      </w:r>
      <w:r>
        <w:rPr>
          <w:i/>
        </w:rPr>
        <w:t>Apology</w:t>
      </w:r>
      <w:r>
        <w:t xml:space="preserve"> Justin predicted the outcome of his life </w:t>
      </w:r>
      <w:r>
        <w:rPr>
          <w:i/>
        </w:rPr>
        <w:t>as it was soon to happen to him</w:t>
      </w:r>
      <w:r>
        <w:t>, ὥσπερ οὗν καὶ ἕμελλεν ὅσον οὔπω περὶ αὐτὸν συμβήσεσθαι. Tillemont estimates that Justin suffered around the year 168, because Eusebius reports his martyrdom after the passion of St. Polycarp, which many reasons compel to be placed around the year 166, and before the death of Anicetus, which Eusebius himself assigned to the year 168. I agree more willingly with this learned man, because his opinion fits very well with the whole series of events carried out by Justin.</w:t>
      </w:r>
    </w:p>
    <w:p w14:paraId="7C040825" w14:textId="77777777" w:rsidR="005C2B3E" w:rsidRDefault="00000000">
      <w:pPr>
        <w:ind w:firstLine="360"/>
      </w:pPr>
      <w:r>
        <w:t xml:space="preserve">The </w:t>
      </w:r>
      <w:r>
        <w:rPr>
          <w:i/>
        </w:rPr>
        <w:t>Acts of the martyrdom of St. Justin</w:t>
      </w:r>
      <w:r>
        <w:t xml:space="preserve"> and his companions are counted among those by scholars that are most sincere and pure. If you exclude the first four lines, which were added like a preface, you will find no deed of a bolder hand. Some of these have been translated into the Greek Menæum, but three verses, which clumsily crept into the context of the Menæum, must be completely rejected:</w:t>
      </w:r>
    </w:p>
    <w:p w14:paraId="41B97C09" w14:textId="77777777" w:rsidR="005C2B3E" w:rsidRPr="00AE0150" w:rsidRDefault="00000000">
      <w:pPr>
        <w:spacing w:before="180" w:after="0"/>
        <w:ind w:left="720" w:right="320" w:hanging="360"/>
        <w:rPr>
          <w:lang w:val="el-GR"/>
        </w:rPr>
      </w:pPr>
      <w:r w:rsidRPr="00AE0150">
        <w:rPr>
          <w:lang w:val="el-GR"/>
        </w:rPr>
        <w:t>ΙΟΥΣΤΙΝΟΝ ΚΩΝΕΙΟΝ ΗΡΕΝ ΕΚ ΒΙΟΥ·</w:t>
      </w:r>
    </w:p>
    <w:p w14:paraId="03D84435" w14:textId="77777777" w:rsidR="005C2B3E" w:rsidRPr="00AE0150" w:rsidRDefault="00000000">
      <w:pPr>
        <w:spacing w:before="0" w:after="0"/>
        <w:ind w:left="720" w:right="320" w:hanging="360"/>
        <w:rPr>
          <w:lang w:val="el-GR"/>
        </w:rPr>
      </w:pPr>
      <w:r w:rsidRPr="00AE0150">
        <w:rPr>
          <w:lang w:val="el-GR"/>
        </w:rPr>
        <w:t>ΩΣ ΕΙΘΕ ΠΡΩΤΟΝ ΤΟΥΣ ΠΙΕΙΝ ΔΕΔΩΚΟΤΑΣ.</w:t>
      </w:r>
    </w:p>
    <w:p w14:paraId="1ABD5E0D" w14:textId="77777777" w:rsidR="005C2B3E" w:rsidRDefault="00000000">
      <w:pPr>
        <w:spacing w:before="0" w:after="0"/>
        <w:ind w:left="720" w:right="320" w:hanging="360"/>
      </w:pPr>
      <w:r>
        <w:t>ΠΡΩΤΗ ΙΟΥΝΙΟΥ ΙΟΥΣΤΙΝΟΝ ΕΛΛΕΒΟΡΙΖΕΙ.</w:t>
      </w:r>
    </w:p>
    <w:p w14:paraId="6DCDE66C" w14:textId="77777777" w:rsidR="005C2B3E" w:rsidRDefault="00000000">
      <w:pPr>
        <w:spacing w:before="0" w:after="0"/>
        <w:ind w:left="720" w:right="320" w:hanging="360"/>
      </w:pPr>
      <w:r>
        <w:t>The cruel hemlock brought death to Justin.</w:t>
      </w:r>
    </w:p>
    <w:p w14:paraId="0F0DA4F0" w14:textId="77777777" w:rsidR="005C2B3E" w:rsidRDefault="00000000">
      <w:pPr>
        <w:spacing w:before="0" w:after="0"/>
        <w:ind w:left="720" w:right="320" w:hanging="360"/>
      </w:pPr>
      <w:r>
        <w:t>If those who offered it had drunk first.</w:t>
      </w:r>
    </w:p>
    <w:p w14:paraId="197D4DA7" w14:textId="77777777" w:rsidR="005C2B3E" w:rsidRDefault="00000000">
      <w:pPr>
        <w:spacing w:before="0" w:after="0"/>
        <w:ind w:left="720" w:right="320" w:hanging="360"/>
      </w:pPr>
      <w:r>
        <w:t>Justin died on the first of June.</w:t>
      </w:r>
    </w:p>
    <w:p w14:paraId="7718B790" w14:textId="77777777" w:rsidR="005C2B3E" w:rsidRDefault="00000000">
      <w:r>
        <w:t>These verses were rendered thus by Halloixius</w:t>
      </w:r>
      <w:r>
        <w:fldChar w:fldCharType="begin"/>
      </w:r>
      <w:r>
        <w:instrText xml:space="preserve"> XE "Halloixius" \f "Persons"</w:instrText>
      </w:r>
      <w:r>
        <w:fldChar w:fldCharType="end"/>
      </w:r>
      <w:r>
        <w:t xml:space="preserve">, but we will translate the last verse more accurately if we interpret ἐλλεβορίζει as </w:t>
      </w:r>
      <w:r>
        <w:rPr>
          <w:i/>
        </w:rPr>
        <w:t>he killed with poison. Justin was killed by hellebore on the Kalends of June</w:t>
      </w:r>
      <w:r>
        <w:t xml:space="preserve">. Certainly to be condemned is the one who inserted those very foolish verses into a context otherwise excellently completed in all its parts, and dared to cast reproach on the most splendid martyrdom of Justin. For whatever is said in the Menæum about Justin and his companions agrees wonderfully with the </w:t>
      </w:r>
      <w:r>
        <w:rPr>
          <w:i/>
        </w:rPr>
        <w:t>Acts of the martyrdom</w:t>
      </w:r>
      <w:r>
        <w:t>, except for those verses. Moreover, Justin would no longer deserve honor as a martyr if he had taken poison willingly, but rather his murderer would deserve disgrace; or if he had been secretly killed by poison, he would not have had as much splendor of martyrdom as all antiquity proclaimed. There is no doubt, therefore, that those three verses are the act of a foolish man.</w:t>
      </w:r>
    </w:p>
    <w:p w14:paraId="0A46FC7D" w14:textId="77777777" w:rsidR="005C2B3E" w:rsidRDefault="00000000">
      <w:pPr>
        <w:ind w:firstLine="360"/>
      </w:pPr>
      <w:r>
        <w:t>Halloixius</w:t>
      </w:r>
      <w:r>
        <w:fldChar w:fldCharType="begin"/>
      </w:r>
      <w:r>
        <w:instrText xml:space="preserve"> XE "Halloixius" \f "Persons"</w:instrText>
      </w:r>
      <w:r>
        <w:fldChar w:fldCharType="end"/>
      </w:r>
      <w:r>
        <w:t xml:space="preserve"> tried to remedy this trouble and thought that the hemlock, which took Justin’s life, was the poison of envy that drove Crescentius to plot Justin’s death. But that interpretation is not supported by the second verse: *If those who offered it had drunk first!*</w:t>
      </w:r>
    </w:p>
    <w:p w14:paraId="6050ED8C" w14:textId="77777777" w:rsidR="005C2B3E" w:rsidRDefault="00000000">
      <w:pPr>
        <w:ind w:firstLine="360"/>
      </w:pPr>
      <w:r>
        <w:lastRenderedPageBreak/>
        <w:t>From this commentary on the death of Justin</w:t>
      </w:r>
      <w:r>
        <w:fldChar w:fldCharType="begin"/>
      </w:r>
      <w:r>
        <w:instrText xml:space="preserve"> XE "Justin" \f "Persons"</w:instrText>
      </w:r>
      <w:r>
        <w:fldChar w:fldCharType="end"/>
      </w:r>
      <w:r>
        <w:t xml:space="preserve"> arose the idea of inventing two Justins, one a philosopher and distinguished writer, who was taken by poison; the other having suffered with companions Chariton, Charitina, Paeon, Liberianus (read Valerianus in the Menæum), Euelpistus, and Hierax. But the </w:t>
      </w:r>
      <w:r>
        <w:rPr>
          <w:i/>
        </w:rPr>
        <w:t>Acts</w:t>
      </w:r>
      <w:r>
        <w:t xml:space="preserve"> themselves, in which Justin is said to have been trained in every kind of discipline, to have had disciples, to share the teaching of truth with all who came to him, and to have come twice to Rome, object so strongly that it is no more pleasing to refute them with given efforts than it is to accept what Aponius</w:t>
      </w:r>
      <w:r>
        <w:fldChar w:fldCharType="begin"/>
      </w:r>
      <w:r>
        <w:instrText xml:space="preserve"> XE "Aponius" \f "Persons"</w:instrText>
      </w:r>
      <w:r>
        <w:fldChar w:fldCharType="end"/>
      </w:r>
      <w:r>
        <w:t xml:space="preserve">, a seventh-century writer, said about Justin—that he was killed by philosophers after being </w:t>
      </w:r>
      <w:r>
        <w:rPr>
          <w:i/>
        </w:rPr>
        <w:t>secretly and cleverly summoned</w:t>
      </w:r>
      <w:r>
        <w:t xml:space="preserve"> by them.</w:t>
      </w:r>
    </w:p>
    <w:p w14:paraId="1BB5FF29" w14:textId="77777777" w:rsidR="005C2B3E" w:rsidRDefault="00000000">
      <w:pPr>
        <w:ind w:firstLine="360"/>
      </w:pPr>
      <w:r>
        <w:t xml:space="preserve">What can be objected against these </w:t>
      </w:r>
      <w:r>
        <w:rPr>
          <w:i/>
        </w:rPr>
        <w:t>Acts</w:t>
      </w:r>
      <w:r>
        <w:t xml:space="preserve"> now seems largely explained and resolved, namely that only one emperor is mentioned, although two ruled the Roman Empire at that time; that an edict against Christians is said to have been issued, although no record shows Marcus issued one; and that Iconium is placed in Phrygia. I have already addressed the first two difficulties. Regarding the third, some replace Phrygia with Pisidia (for so it is said by Basil</w:t>
      </w:r>
      <w:r>
        <w:fldChar w:fldCharType="begin"/>
      </w:r>
      <w:r>
        <w:instrText xml:space="preserve"> XE "Basil" \f "Persons"</w:instrText>
      </w:r>
      <w:r>
        <w:fldChar w:fldCharType="end"/>
      </w:r>
      <w:r>
        <w:t>, ep. 138, that Iconium is a city of Pisidia), or substitute Lycaonia for Iconium. And this response should satisfy fair judges of the matter, even if it were not confirmed elsewhere that such errors in naming the location of cities often creep into the text from notes added in the margin.</w:t>
      </w:r>
    </w:p>
    <w:p w14:paraId="300A7F91" w14:textId="77777777" w:rsidR="005C2B3E" w:rsidRDefault="00000000">
      <w:pPr>
        <w:ind w:firstLine="360"/>
      </w:pPr>
      <w:r>
        <w:t xml:space="preserve">Among the things I have corrected in the Latin translation of the </w:t>
      </w:r>
      <w:r>
        <w:rPr>
          <w:i/>
        </w:rPr>
        <w:t>Greek Acts</w:t>
      </w:r>
      <w:r>
        <w:t>, there is one thing I would like to add. The prefect says to Justin</w:t>
      </w:r>
      <w:r>
        <w:fldChar w:fldCharType="begin"/>
      </w:r>
      <w:r>
        <w:instrText xml:space="preserve"> XE "Justin" \f "Persons"</w:instrText>
      </w:r>
      <w:r>
        <w:fldChar w:fldCharType="end"/>
      </w:r>
      <w:r>
        <w:t>, no. 4: Ἄκουε ὁ λεγόμενος λόγιος· “Listen, you who are said to be eloquent.” I would prefer, “you who are said to be learned.”</w:t>
      </w:r>
    </w:p>
    <w:p w14:paraId="1DCCB5F2" w14:textId="77777777" w:rsidR="005C2B3E" w:rsidRDefault="00000000">
      <w:pPr>
        <w:pStyle w:val="Heading3"/>
      </w:pPr>
      <w:r>
        <w:t>CHAPTER 10</w:t>
      </w:r>
    </w:p>
    <w:p w14:paraId="516CB757" w14:textId="77777777" w:rsidR="005C2B3E" w:rsidRDefault="00000000">
      <w:pPr>
        <w:pStyle w:val="Heading4"/>
      </w:pPr>
      <w:r>
        <w:t>ABOUT TATIAN AND FIRST ABOUT HIS STUDIES OF LITERATURE AND CONVERSION</w:t>
      </w:r>
    </w:p>
    <w:p w14:paraId="52C267CF" w14:textId="77777777" w:rsidR="005C2B3E" w:rsidRDefault="00000000">
      <w:pPr>
        <w:spacing w:before="180" w:after="0"/>
        <w:ind w:left="720" w:right="320" w:hanging="360"/>
      </w:pPr>
      <w:r>
        <w:t>Tatian</w:t>
      </w:r>
      <w:r>
        <w:fldChar w:fldCharType="begin"/>
      </w:r>
      <w:r>
        <w:instrText xml:space="preserve"> XE "Tatian" \f "Persons"</w:instrText>
      </w:r>
      <w:r>
        <w:fldChar w:fldCharType="end"/>
      </w:r>
      <w:r>
        <w:t xml:space="preserve"> applies himself to all disciplines. II. How he became a Christian. III. His zeal under Master Justin</w:t>
      </w:r>
    </w:p>
    <w:p w14:paraId="07155CED" w14:textId="77777777" w:rsidR="005C2B3E" w:rsidRDefault="00000000">
      <w:r>
        <w:t>I. Tatian testifies that he was born in the land of the Assyrians: Epiphanius</w:t>
      </w:r>
      <w:r>
        <w:fldChar w:fldCharType="begin"/>
      </w:r>
      <w:r>
        <w:instrText xml:space="preserve"> XE "Epiphanius" \f "Persons"</w:instrText>
      </w:r>
      <w:r>
        <w:fldChar w:fldCharType="end"/>
      </w:r>
      <w:r>
        <w:t xml:space="preserve">, a heretic, calls him a Syrian, and in the index on page 231, he says </w:t>
      </w:r>
      <w:r>
        <w:rPr>
          <w:i/>
        </w:rPr>
        <w:t>he is said to come from Mesopotamia</w:t>
      </w:r>
      <w:r>
        <w:t>. Theodoret</w:t>
      </w:r>
      <w:r>
        <w:fldChar w:fldCharType="begin"/>
      </w:r>
      <w:r>
        <w:instrText xml:space="preserve"> XE "Theodoret" \f "Persons"</w:instrText>
      </w:r>
      <w:r>
        <w:fldChar w:fldCharType="end"/>
      </w:r>
      <w:r>
        <w:t xml:space="preserve"> also called Tatian a Syrian. It was not unusual for those who lived in Palestine to be called Assyrians; Themistius</w:t>
      </w:r>
      <w:r>
        <w:fldChar w:fldCharType="begin"/>
      </w:r>
      <w:r>
        <w:instrText xml:space="preserve"> XE "Themistius" \f "Persons"</w:instrText>
      </w:r>
      <w:r>
        <w:fldChar w:fldCharType="end"/>
      </w:r>
      <w:r>
        <w:t xml:space="preserve"> provides an example of this in </w:t>
      </w:r>
      <w:r>
        <w:rPr>
          <w:i/>
        </w:rPr>
        <w:t>Oration</w:t>
      </w:r>
      <w:r>
        <w:t xml:space="preserve"> 7, where he claims that the phrase from Scripture: </w:t>
      </w:r>
      <w:r>
        <w:rPr>
          <w:i/>
        </w:rPr>
        <w:t>The heart of the king is in the hand of God</w:t>
      </w:r>
      <w:r>
        <w:t xml:space="preserve"> was taken from Assyrian books. Therefore, it cannot be determined whether Tatian was born in Syria, or in what is properly called Assyria, or, as Epiphanius believed, in Mesopotamia, since the name Assyrians was also given to the Hebrews themselves.</w:t>
      </w:r>
    </w:p>
    <w:p w14:paraId="599A92B7" w14:textId="77777777" w:rsidR="005C2B3E" w:rsidRDefault="00000000">
      <w:pPr>
        <w:ind w:firstLine="360"/>
      </w:pPr>
      <w:r>
        <w:lastRenderedPageBreak/>
        <w:t>First, Tatian</w:t>
      </w:r>
      <w:r>
        <w:fldChar w:fldCharType="begin"/>
      </w:r>
      <w:r>
        <w:instrText xml:space="preserve"> XE "Tatian" \f "Persons"</w:instrText>
      </w:r>
      <w:r>
        <w:fldChar w:fldCharType="end"/>
      </w:r>
      <w:r>
        <w:t xml:space="preserve">’s training was superstition and a strong study of all literature. He himself shows that he struggled with such great superstition that </w:t>
      </w:r>
      <w:r>
        <w:rPr>
          <w:i/>
        </w:rPr>
        <w:t>he became a participant in mysteries in various places and explored religions everywhere</w:t>
      </w:r>
      <w:r>
        <w:t>. Yet, as he traveled through so many regions, his purpose was not only to be initiated into mysteries but also, above all, to gather diverse learning. Thus he speaks of what he learned by traveling, n. 35: Ταῦτα μὲν οὐ παρʼ ἅλλου μαθὼν ἐξεθέμην, πολλὴν ἐπιφοιτήσας γῆν, καὶ τοῦτο μὲν σοφιστεύσας τὰ ὑμετέρα, τοῦτο δὲ τέχναις καὶ ἐπινοίαις ἐπικυρήσας πολλαῖς. “These things I did not learn from another but explained, having visited many lands, and this I did by practicing your teachings, and that by confirming many arts and inventions.”</w:t>
      </w:r>
    </w:p>
    <w:p w14:paraId="19FB4D2D" w14:textId="77777777" w:rsidR="005C2B3E" w:rsidRDefault="00000000">
      <w:pPr>
        <w:ind w:firstLine="360"/>
      </w:pPr>
      <w:r>
        <w:t>What Tatian</w:t>
      </w:r>
      <w:r>
        <w:fldChar w:fldCharType="begin"/>
      </w:r>
      <w:r>
        <w:instrText xml:space="preserve"> XE "Tatian" \f "Persons"</w:instrText>
      </w:r>
      <w:r>
        <w:fldChar w:fldCharType="end"/>
      </w:r>
      <w:r>
        <w:t xml:space="preserve"> says about having been trained in Greek disciplines was expressed by Eusebius</w:t>
      </w:r>
      <w:r>
        <w:fldChar w:fldCharType="begin"/>
      </w:r>
      <w:r>
        <w:instrText xml:space="preserve"> XE "Eusebius" \f "Persons"</w:instrText>
      </w:r>
      <w:r>
        <w:fldChar w:fldCharType="end"/>
      </w:r>
      <w:r>
        <w:t xml:space="preserve"> when writing about Tatian’s imitation. Τατιανὸς, inquit, ἀνὴρ τὸν πρῶτον· αὐτοῦ βίον σοφιστεύσας ἐν τοῖς Ἑλλήνων μαθήμασι. “Tatianus</w:t>
      </w:r>
      <w:r>
        <w:fldChar w:fldCharType="begin"/>
      </w:r>
      <w:r>
        <w:instrText xml:space="preserve"> XE "Tatianus" \f "Persons"</w:instrText>
      </w:r>
      <w:r>
        <w:fldChar w:fldCharType="end"/>
      </w:r>
      <w:r>
        <w:t>, a man first trained in Greek studies in his life.” Ruffinus</w:t>
      </w:r>
      <w:r>
        <w:fldChar w:fldCharType="begin"/>
      </w:r>
      <w:r>
        <w:instrText xml:space="preserve"> XE "Ruffinus" \f "Persons"</w:instrText>
      </w:r>
      <w:r>
        <w:fldChar w:fldCharType="end"/>
      </w:r>
      <w:r>
        <w:t xml:space="preserve"> translated σοφιστεύσας as </w:t>
      </w:r>
      <w:r>
        <w:rPr>
          <w:i/>
        </w:rPr>
        <w:t>master of eloquence</w:t>
      </w:r>
      <w:r>
        <w:t>; from this, Jerome</w:t>
      </w:r>
      <w:r>
        <w:fldChar w:fldCharType="begin"/>
      </w:r>
      <w:r>
        <w:instrText xml:space="preserve"> XE "Jerome" \f "Persons"</w:instrText>
      </w:r>
      <w:r>
        <w:fldChar w:fldCharType="end"/>
      </w:r>
      <w:r>
        <w:t xml:space="preserve"> said that Tatian gained no small glory for himself as the first teacher of oratory from the art of rhetoric, and Theodoret called him a sophist. But Valesius, who followed these leaders in translating Eusebius into Latin, differs in his notes and observes that σοφιστεύσας has nothing to do with eloquence but includes all Greek wisdom and liberal arts. He adds that Tatian was more a philosopher from his travels than a teacher of eloquence; and because he wrote without order or method, he shows little practice in speaking. The author of the dissertation on Tatian, read after Tatian’s </w:t>
      </w:r>
      <w:r>
        <w:rPr>
          <w:i/>
        </w:rPr>
        <w:t>Oration</w:t>
      </w:r>
      <w:r>
        <w:t xml:space="preserve"> published at Oxford (who is the very learned abbot of Longuerue), agrees with Valesius and confirms his opinion with these words of Tatian: Ὁ κατʼ Ἐπίκουρον σοφιστεύων, “who follows the philosophy of Epicurus.” Learned men rightly reject that Tatian taught rhetoric as Jerome and Ruffinus said, and that Theodoret called him a sophist, which was not well said. For Tatian himself clearly declares that he was a philosopher before he became a Christian. Thus he addresses the philosophers, n. 26: Δημοσίᾳ μὲν γὰρ πομπεύετε, τοὺς δὲ λόγους ἐπὶ γωνίας ἀποκρύπτετε. Τοιούτους ὑμᾶς ἑπιγνόντες καταλελοίπαμεν καὶ τῶν ὑμετέρων οὐκέτι ψαύομεν, Θεοῦ δὲ λόγῳ κατακολουθοῦμεν. “For you make public processions, but you hide your speeches in corners. Knowing such as you, we have left you behind and no longer touch your matters, but we follow the word of God.”</w:t>
      </w:r>
    </w:p>
    <w:p w14:paraId="58CC70E4" w14:textId="77777777" w:rsidR="005C2B3E" w:rsidRDefault="00000000">
      <w:pPr>
        <w:ind w:firstLine="360"/>
      </w:pPr>
      <w:r>
        <w:t>Indeed, although Tatian</w:t>
      </w:r>
      <w:r>
        <w:fldChar w:fldCharType="begin"/>
      </w:r>
      <w:r>
        <w:instrText xml:space="preserve"> XE "Tatian" \f "Persons"</w:instrText>
      </w:r>
      <w:r>
        <w:fldChar w:fldCharType="end"/>
      </w:r>
      <w:r>
        <w:t xml:space="preserve"> indicates by these words that he had left Greek philosophy behind, he seems nevertheless, in the Christian religion itself, following the example of his master Justin, to have kept the name philosopher and perhaps even its marks. For he counts himself among philosophers with Justin, when he speaks of the traps set by Crescens the Cynic against both of them, n. 19: Τίνας δὲ ἃν καὶ διῶξαι τῶν φιλοσόφων εἰ μὴ μόνους ἡμᾶς εἵωθεν; “Whom among the philosophers did I ever pursue except only us alone?”</w:t>
      </w:r>
    </w:p>
    <w:p w14:paraId="3613C7DA" w14:textId="77777777" w:rsidR="005C2B3E" w:rsidRDefault="00000000">
      <w:pPr>
        <w:ind w:firstLine="360"/>
      </w:pPr>
      <w:r>
        <w:lastRenderedPageBreak/>
        <w:t>From this it is clear that Tatian</w:t>
      </w:r>
      <w:r>
        <w:fldChar w:fldCharType="begin"/>
      </w:r>
      <w:r>
        <w:instrText xml:space="preserve"> XE "Tatian" \f "Persons"</w:instrText>
      </w:r>
      <w:r>
        <w:fldChar w:fldCharType="end"/>
      </w:r>
      <w:r>
        <w:t xml:space="preserve"> was a philosopher; yet he was so devoted to philosophy that he seems to have devoted no less effort and study to reading poets and orators and investigating all antiquity. For I cannot agree with the learned men who refer Eusebius</w:t>
      </w:r>
      <w:r>
        <w:fldChar w:fldCharType="begin"/>
      </w:r>
      <w:r>
        <w:instrText xml:space="preserve"> XE "Eusebius" \f "Persons"</w:instrText>
      </w:r>
      <w:r>
        <w:fldChar w:fldCharType="end"/>
      </w:r>
      <w:r>
        <w:t xml:space="preserve">’s passage so strictly to philosophy as to deny Tatian not only the profession of rhetoric but also the praise of eloquence. His knowledge of antiquity is shown by the </w:t>
      </w:r>
      <w:r>
        <w:rPr>
          <w:i/>
        </w:rPr>
        <w:t>Oration against the Greeks</w:t>
      </w:r>
      <w:r>
        <w:t xml:space="preserve">, which is full of deep learning; it shows that he was a student of poets and orators by the style of his speech, polished with the finest images and poetic charms, and marked by the lights and ornaments of words. Indeed, the Greek disciplines in which we learn from Eusebius and even from Tatian himself that he was trained must be understood to include not only philosophy but also other arts, as is clear from the beginning of the </w:t>
      </w:r>
      <w:r>
        <w:rPr>
          <w:i/>
        </w:rPr>
        <w:t>Oration against the Greeks</w:t>
      </w:r>
      <w:r>
        <w:t>, where Tatian speaks thus, n. 1: Ἀπεταξάμεθα τῇ παρʼ ὑμῖν σοφίᾳ, κᾶν εἰ πάνυ σεμνός τις ἦ ἐν αὐτῇ.… Ῥητορικὴν μὲν γὰρ ἐπʼ ἀδικίᾳ καὶ συκοφαντίᾳ συνεστήσασθε.… ποιητικὴν δὲ μάχας ἵνα συντάσσητε καὶ θεῶν ἕρωτας καὶ ψυχῆς διαφθοράν. Τί γὰρ σεμνὸν φιλοσοφοῦντες ἐξηνέγκατε; τίς δὲ τῶν πάνυ σπουδαίων ἀλαζονείας ἕξω καθέστηκεν; “We have rejected the wisdom that comes from you, even if someone very serious was in it.… For you have established rhetoric for injustice and slander.… and poetry to compose battles and the loves of gods and the corruption of the soul. For what noble thing have you produced by philosophizing? And which of the very serious has stood outside of arrogance?” Therefore, both those who assigned Tatian the profession of rhetoric and those who gave him only the praise of philosophy seem to have erred.</w:t>
      </w:r>
    </w:p>
    <w:p w14:paraId="2FE6B4B0" w14:textId="77777777" w:rsidR="005C2B3E" w:rsidRDefault="00000000">
      <w:pPr>
        <w:ind w:firstLine="360"/>
      </w:pPr>
      <w:r>
        <w:t xml:space="preserve">II. But all these teachings of the pagans could soothe Tatian’s mind with empty studies, they could not satisfy his desire to know the truth. He despised the religions of the Greeks after he saw, as he himself tells, that they were managed by effeminate men and catamites, and that Jupiter Latialis among the Romans was pleased with human blood, and that Diana not far from Megalopolis, and other demons elsewhere, were appeased by such crimes. Even the disciplines themselves bored him: the Attic style, the syllogisms of philosophers, geometry, astronomy, laws established for managing public affairs. Finally, by divine favor, to which however he showed himself ungrateful and degenerate, the truth shone to his eyes when he came upon the sacred Scriptures of the Christians. Thus he himself explained the matter, n. 29: Κατʼ ἐμαυτὸν γενόμενος ἐζήτουν ὅτῳ τρόπῳ τἀληθὲς ἐξευρεῖν δύναμαι. Περινοοῦντι δέ μοι τὰ σπουδαῖα συνέβη γραφαῖς τισιν ἐντυχεῖν βαρβαρικαῖς, πρεσβυτέραις μὲν ὡς πρὸς τὰ Ἑλλήνων δόγματα, θειοτέραις δὲ ὡς πρὸς τὴν ἐκείνων πλάνην. Καί μοι πεισθῆναι ταύταις συνέβη διά τε τῶν λέξεων τὸ ἄτυφον, καὶ τῶν εἰπόντων τὸ ἀνεπιτήδευτον, καὶ τῆς τοῦ παντὸς ποιήσεως τὸ εὐκατάληπτον, καὶ τῶν μελλόντων τὸ προγνωστικὸν, καὶ τῶν παραγγελμάτων τὸ ἐξαίσιον, καὶ τῶν ὅλων τὸ μοναρχικόν. “Having set myself to seek how I might find the truth, and turning my mind to the highest things, I happened upon certain barbarian writings, older than the Greek disciplines, yet more divine than </w:t>
      </w:r>
      <w:r>
        <w:lastRenderedPageBreak/>
        <w:t>their errors. It happened that I was persuaded by these because of the modesty of their language, the simplicity of those who spoke, the easy understanding of the creation of all things, the foreknowledge of future events, the excellence of the commands, and the unique unity of all things.”</w:t>
      </w:r>
    </w:p>
    <w:p w14:paraId="40AE8A25" w14:textId="77777777" w:rsidR="005C2B3E" w:rsidRDefault="00000000">
      <w:pPr>
        <w:ind w:firstLine="360"/>
      </w:pPr>
      <w:r>
        <w:t>That also greatly moved Tatian to admire the Christian religion: that through it a person could be freed from slavery and restored to the original state from which we have miserably fallen. Thus he continues, ibid: Θεοδιδάκτου δέ μουγενομένης τῆς ψυχῆς συνῆκα, ὅτι τὰ μὲν καταδίκης ἕχει τρόπον, τὰ δὲ ὅτι λύει τὴν ἐν κόσμῳ δουλείαν, καὶ ἀρχόντων μὲν πολλῶν, καὶ μυρίων ἡμᾶς ἀποσπᾷ τυράννων, δίδωσι δὲ ἡμῖν οὐχ ὅπερ μὴ ἐλάβομεν, ἀλλʼ ὅπερ λαβόντες ὑπὸ τῆς πλάνης ἔχειν ἐκωλύθημεν. “Therefore, having been divinely taught in my mind, I understood that some things are akin to condemnation, but that it dissolves the slavery in the world, and frees us from many rulers and countless tyrants, and gives us not what we did not receive, but what, having received, error did not allow us to keep.”</w:t>
      </w:r>
    </w:p>
    <w:p w14:paraId="02F68EDA" w14:textId="77777777" w:rsidR="005C2B3E" w:rsidRDefault="00000000">
      <w:pPr>
        <w:ind w:firstLine="360"/>
      </w:pPr>
      <w:r>
        <w:t>Tatian</w:t>
      </w:r>
      <w:r>
        <w:fldChar w:fldCharType="begin"/>
      </w:r>
      <w:r>
        <w:instrText xml:space="preserve"> XE "Tatian" \f "Persons"</w:instrText>
      </w:r>
      <w:r>
        <w:fldChar w:fldCharType="end"/>
      </w:r>
      <w:r>
        <w:t xml:space="preserve"> seems to have embraced the Christian religion in Rome. For when he says that after traveling through many regions he </w:t>
      </w:r>
      <w:r>
        <w:rPr>
          <w:i/>
        </w:rPr>
        <w:t>finally stayed in this city</w:t>
      </w:r>
      <w:r>
        <w:t>; and since from his journeys, as we have just seen, he gained the advantage of investigating everywhere false religions to seek the truth, and to embrace what he found in the Christian books, it is likely that Rome was the end not only of his travels but also of errors and superstitions. This is also related to what he says, n. 35: Διόπερ χαίρειν εἰπὼν καὶ τῇ Ῥωμαίων μεγαλαυχίᾳ, καὶ τῇ Ἀθηναίων ψυχρολογίᾳ, δόγμασιν ἀσυναρτήτοις, τῆς καθʼ ἡμᾶς βαρβάρου φιλοσοφίας ἀντεποιησάμην. “Therefore, saying farewell both to the boasting of the Romans and the cold talk of the Athenians, to their ill-fitting doctrines, I embraced our barbarian philosophy.”</w:t>
      </w:r>
    </w:p>
    <w:p w14:paraId="47D2F9C4" w14:textId="77777777" w:rsidR="005C2B3E" w:rsidRDefault="00000000">
      <w:pPr>
        <w:ind w:firstLine="360"/>
      </w:pPr>
      <w:r>
        <w:t>Tatian</w:t>
      </w:r>
      <w:r>
        <w:fldChar w:fldCharType="begin"/>
      </w:r>
      <w:r>
        <w:instrText xml:space="preserve"> XE "Tatian" \f "Persons"</w:instrText>
      </w:r>
      <w:r>
        <w:fldChar w:fldCharType="end"/>
      </w:r>
      <w:r>
        <w:t xml:space="preserve"> seems to have professed the Christian name among Christians not long before the death of Justin. For in the </w:t>
      </w:r>
      <w:r>
        <w:rPr>
          <w:i/>
        </w:rPr>
        <w:t>Oration</w:t>
      </w:r>
      <w:r>
        <w:t>, which he wrote after the martyrdom of Justin, the following complaint of the Greeks appears: Τατιανὸς ὑπὲρ ἕλληνας, ὑπὲρ τὸ ἄπειρον τῶν φιλοσοφούντων πλῆθος, καινοτομεῖ τὰ βαρβάρων δόγματα. “Tatianus</w:t>
      </w:r>
      <w:r>
        <w:fldChar w:fldCharType="begin"/>
      </w:r>
      <w:r>
        <w:instrText xml:space="preserve"> XE "Tatianus" \f "Persons"</w:instrText>
      </w:r>
      <w:r>
        <w:fldChar w:fldCharType="end"/>
      </w:r>
      <w:r>
        <w:t xml:space="preserve"> is above the Greeks, above the countless multitude of philosophers, a new follower of barbarian doctrines.” The novelty blamed here is not of the barbarian doctrine itself, as interpreters thought, but of Tatian’s deliberate choice to follow this doctrine; and this is confirmed by Tatian’s reply, who uses that saying of Solon in his defense:</w:t>
      </w:r>
    </w:p>
    <w:p w14:paraId="03C4B35E" w14:textId="77777777" w:rsidR="005C2B3E" w:rsidRPr="00AE0150" w:rsidRDefault="00000000">
      <w:pPr>
        <w:spacing w:before="180" w:after="0"/>
        <w:ind w:left="720" w:right="320" w:hanging="360"/>
        <w:rPr>
          <w:lang w:val="el-GR"/>
        </w:rPr>
      </w:pPr>
      <w:r w:rsidRPr="00AE0150">
        <w:rPr>
          <w:lang w:val="el-GR"/>
        </w:rPr>
        <w:t>Γηράσκω δʼ ἀεὶ πολλὰ διδασκόμενος.</w:t>
      </w:r>
    </w:p>
    <w:p w14:paraId="2C21DB7E" w14:textId="77777777" w:rsidR="005C2B3E" w:rsidRDefault="00000000">
      <w:r w:rsidRPr="00AE0150">
        <w:rPr>
          <w:i/>
          <w:lang w:val="el-GR"/>
        </w:rPr>
        <w:t xml:space="preserve"> </w:t>
      </w:r>
      <w:r>
        <w:t>I always grow old while learning many things at the same time.*</w:t>
      </w:r>
    </w:p>
    <w:p w14:paraId="29EE290C" w14:textId="77777777" w:rsidR="005C2B3E" w:rsidRDefault="00000000">
      <w:pPr>
        <w:ind w:firstLine="360"/>
      </w:pPr>
      <w:r>
        <w:t>Chapter 3. Tatian</w:t>
      </w:r>
      <w:r>
        <w:fldChar w:fldCharType="begin"/>
      </w:r>
      <w:r>
        <w:instrText xml:space="preserve"> XE "Tatian" \f "Persons"</w:instrText>
      </w:r>
      <w:r>
        <w:fldChar w:fldCharType="end"/>
      </w:r>
      <w:r>
        <w:t xml:space="preserve"> indeed published very excellent beginnings, and when he had come to Justin in Rome, a man, as he himself calls him, to be admired above all, he seems to have made no small progress in this discipline of holiness and teaching. He </w:t>
      </w:r>
      <w:r>
        <w:lastRenderedPageBreak/>
        <w:t>was not only a disciple of that man but also an assistant, so that in defending the religion and refuting the philosophers he seemed to take a secondary role. For when Crescens the Cynic left nothing untried to remove Justin from the scene, who had been convicted of ignorance before many listeners, he was planning the same schemes for the ruin of Tatian: he was plotting wicked attempts against both. For Tatian says, n. 19: Θανάτου δὲ ὁ καταφρονῶν, οὕτως αὐτὸν ἐδεδίει τὸν θάνατον, ὡς καὶ Ἰουστῖνον καθάπερ καὶ ἐμὲ οἷον κακῷ τῷ θανάτῳ περιβαλεῖν πραγματεύσασθαι … Τίνας δὲ ἂν καὶ διῶξαι τῶν φιλοσόφων, εἰ μὴ μόνους ἡμᾶς εἵωθεν? “But this man, who despised death, feared death so much that he tried by his plots to bring it upon Justin and me as if it were some evil. Whom else among the philosophers would he pursue if not us alone?” How great Tatian’s zeal was for defending religion is clear from this hatred of Crescens against him.</w:t>
      </w:r>
    </w:p>
    <w:p w14:paraId="30A974A5" w14:textId="77777777" w:rsidR="005C2B3E" w:rsidRDefault="00000000">
      <w:pPr>
        <w:ind w:firstLine="360"/>
      </w:pPr>
      <w:r>
        <w:t>Justin successfully overcame the plots of Crescens; Tatian escaped not without great harm to himself. But just as he had been a partner and companion in the labors of the teacher, so he also seems to have been his heir in spirit. For this school, which Justin had established in Rome, passed to Tatian after his death, as we infer from Rhodon</w:t>
      </w:r>
      <w:r>
        <w:fldChar w:fldCharType="begin"/>
      </w:r>
      <w:r>
        <w:instrText xml:space="preserve"> XE "Rhodon" \f "Persons"</w:instrText>
      </w:r>
      <w:r>
        <w:fldChar w:fldCharType="end"/>
      </w:r>
      <w:r>
        <w:t>, a notable writer of the second century, who testified that he had been taught in Rome by Tatian, as Eusebius</w:t>
      </w:r>
      <w:r>
        <w:fldChar w:fldCharType="begin"/>
      </w:r>
      <w:r>
        <w:instrText xml:space="preserve"> XE "Eusebius" \f "Persons"</w:instrText>
      </w:r>
      <w:r>
        <w:fldChar w:fldCharType="end"/>
      </w:r>
      <w:r>
        <w:t xml:space="preserve"> relates in </w:t>
      </w:r>
      <w:r>
        <w:rPr>
          <w:i/>
        </w:rPr>
        <w:t>Hist.</w:t>
      </w:r>
      <w:r>
        <w:t xml:space="preserve"> book 5, chapter 13.</w:t>
      </w:r>
    </w:p>
    <w:p w14:paraId="6FECBC20" w14:textId="77777777" w:rsidR="005C2B3E" w:rsidRDefault="00000000">
      <w:pPr>
        <w:pStyle w:val="Heading3"/>
      </w:pPr>
      <w:r>
        <w:t>CHAPTER 11</w:t>
      </w:r>
    </w:p>
    <w:p w14:paraId="67F9FDD3" w14:textId="77777777" w:rsidR="005C2B3E" w:rsidRDefault="00000000">
      <w:pPr>
        <w:pStyle w:val="Heading4"/>
      </w:pPr>
      <w:r>
        <w:t>ON THE HERESY INTO WHICH TATIAN FELL AND ON THE SECT OF THE ENCRATITES FOUNDED BY HIM</w:t>
      </w:r>
    </w:p>
    <w:p w14:paraId="7C8B7E8F" w14:textId="77777777" w:rsidR="005C2B3E" w:rsidRDefault="00000000">
      <w:pPr>
        <w:spacing w:before="180" w:after="0"/>
        <w:ind w:left="720" w:right="320" w:hanging="360"/>
      </w:pPr>
      <w:r>
        <w:t>The time when Tatian became a heretic. II. Those errors shared with others. III. Whether he taught the supposed flesh of Christ. IV. He denied the salvation of Adam. V. About the sect of the Encratites.</w:t>
      </w:r>
    </w:p>
    <w:p w14:paraId="0E833E45" w14:textId="77777777" w:rsidR="005C2B3E" w:rsidRDefault="00000000">
      <w:r>
        <w:t>I. The teachings and examples of Justin</w:t>
      </w:r>
      <w:r>
        <w:fldChar w:fldCharType="begin"/>
      </w:r>
      <w:r>
        <w:instrText xml:space="preserve"> XE "Justin" \f "Persons"</w:instrText>
      </w:r>
      <w:r>
        <w:fldChar w:fldCharType="end"/>
      </w:r>
      <w:r>
        <w:t xml:space="preserve"> did not immediately slip from Tatian</w:t>
      </w:r>
      <w:r>
        <w:fldChar w:fldCharType="begin"/>
      </w:r>
      <w:r>
        <w:instrText xml:space="preserve"> XE "Tatian" \f "Persons"</w:instrText>
      </w:r>
      <w:r>
        <w:fldChar w:fldCharType="end"/>
      </w:r>
      <w:r>
        <w:t xml:space="preserve">’s memory: the teacher’s excellent deeds and words are proclaimed in the </w:t>
      </w:r>
      <w:r>
        <w:rPr>
          <w:i/>
        </w:rPr>
        <w:t>Oration against the Greeks</w:t>
      </w:r>
      <w:r>
        <w:t>, and on the divinity and Incarnation of Christ, on the creation of the world, he argues in exactly the same opinion as Justin, sometimes even in the same words. But not long after, having lost the light of doctrine and the examples of a holier life which he had in Justin, like a blind man left without a guide, he threw himself headlong into the worst errors, and having become a defender of the truth, he was made the author of impious heresy. Irenaeus</w:t>
      </w:r>
      <w:r>
        <w:fldChar w:fldCharType="begin"/>
      </w:r>
      <w:r>
        <w:instrText xml:space="preserve"> XE "Irenaeus" \f "Persons"</w:instrText>
      </w:r>
      <w:r>
        <w:fldChar w:fldCharType="end"/>
      </w:r>
      <w:r>
        <w:t xml:space="preserve"> attributed this ruin of a man who had well served the Church to pride, and he speaks of Tatian thus, book 1, chapter 28: Μετὰ δὲ τὴν ἐκείνου μαρτυρίαν ἀποστὰς τῆς Ἐκκλησίας, οἰήματι διδασκάλου ἐπαρθεὶς καὶ τυφωθεὶς, ὡς διαφέρων τῶν λοιπῶν ἵδιον χαρακτῆρα διδασκαλείου συνεστήσατο. “But after the martyrdom of that one (Justin), departing from the Church, and lifted up and </w:t>
      </w:r>
      <w:r>
        <w:lastRenderedPageBreak/>
        <w:t>blinded by the presumption of a teacher, as if he were different from the rest, he established a peculiar character of teaching.” Now it must be examined at what time he fell away from the Church, and which errors he chiefly followed.</w:t>
      </w:r>
    </w:p>
    <w:p w14:paraId="5BF89C87" w14:textId="77777777" w:rsidR="005C2B3E" w:rsidRDefault="00000000">
      <w:pPr>
        <w:ind w:firstLine="360"/>
      </w:pPr>
      <w:r>
        <w:t>Epiphanius</w:t>
      </w:r>
      <w:r>
        <w:fldChar w:fldCharType="begin"/>
      </w:r>
      <w:r>
        <w:instrText xml:space="preserve"> XE "Epiphanius" \f "Persons"</w:instrText>
      </w:r>
      <w:r>
        <w:fldChar w:fldCharType="end"/>
      </w:r>
      <w:r>
        <w:t xml:space="preserve"> relates that Tatian</w:t>
      </w:r>
      <w:r>
        <w:fldChar w:fldCharType="begin"/>
      </w:r>
      <w:r>
        <w:instrText xml:space="preserve"> XE "Tatian" \f "Persons"</w:instrText>
      </w:r>
      <w:r>
        <w:fldChar w:fldCharType="end"/>
      </w:r>
      <w:r>
        <w:t xml:space="preserve"> began to found a new sect in Mesopotamia around the twelfth year of Emperor Antoninus</w:t>
      </w:r>
      <w:r>
        <w:fldChar w:fldCharType="begin"/>
      </w:r>
      <w:r>
        <w:instrText xml:space="preserve"> XE "Antoninus" \f "Persons"</w:instrText>
      </w:r>
      <w:r>
        <w:fldChar w:fldCharType="end"/>
      </w:r>
      <w:r>
        <w:t>, surnamed Pius. It is hardly possible to depart from this opinion, for those who hold that Justin suffered under Antoninus; indeed, while this agrees with the learned author of the above-cited dissertation, Epiphanius supports it in those things that pertain to Tatian, provided that the twelfth year of Antoninus is understood not as the current year but as the completed year, and that Tatian’s heresy is referred to the year 151 of Christ. But by the same reasons that have been argued above to show that the holy martyr Justin suffered under Marcus Aurelius, it follows that Tatian could not have fallen into heresy under Antoninus. However, at this point it is fitting to bring forward some things that are more proper to Tatian.</w:t>
      </w:r>
    </w:p>
    <w:p w14:paraId="6B99E179" w14:textId="77777777" w:rsidR="005C2B3E" w:rsidRDefault="00000000">
      <w:pPr>
        <w:ind w:firstLine="360"/>
      </w:pPr>
      <w:r>
        <w:t>At the time Tatian</w:t>
      </w:r>
      <w:r>
        <w:fldChar w:fldCharType="begin"/>
      </w:r>
      <w:r>
        <w:instrText xml:space="preserve"> XE "Tatian" \f "Persons"</w:instrText>
      </w:r>
      <w:r>
        <w:fldChar w:fldCharType="end"/>
      </w:r>
      <w:r>
        <w:t xml:space="preserve"> was writing, the profession of the Christian religion was constantly exposed to the danger of death; and although some authors say that Tatian lied to avoid death, he rejects their advice: Τί μοι συμβουλεύεις ψεύσασθαι τὴν πολιτείαν; τί δὲ λέγων θανάτου καταφρονεῖν, διὰ τέχνης φεύγειν αὐτὸν καταγγέλλεις; Ἐγὼ μὲν οὐκ ἕχω καρδίαν ἐλάφου. “Why do you advise me to lie about my way of life? And why do you say to despise death, and to avoid it by trickery? I do not have the heart of a deer.” Although in these words the mild rule of Antoninus</w:t>
      </w:r>
      <w:r>
        <w:fldChar w:fldCharType="begin"/>
      </w:r>
      <w:r>
        <w:instrText xml:space="preserve"> XE "Antoninus" \f "Persons"</w:instrText>
      </w:r>
      <w:r>
        <w:fldChar w:fldCharType="end"/>
      </w:r>
      <w:r>
        <w:t xml:space="preserve"> is less recognized than the harsh spirit of Marcus toward Christians, I will not use this as an argument; because, as I noted above, the peace granted under Hadrian</w:t>
      </w:r>
      <w:r>
        <w:fldChar w:fldCharType="begin"/>
      </w:r>
      <w:r>
        <w:instrText xml:space="preserve"> XE "Hadrian" \f "Persons"</w:instrText>
      </w:r>
      <w:r>
        <w:fldChar w:fldCharType="end"/>
      </w:r>
      <w:r>
        <w:t xml:space="preserve"> and Antoninus was a kind of truce, which neither made Christians forget their steadfastness in suffering nor removed the fear of future persecutions. A more certain argument is provided by Eusebius</w:t>
      </w:r>
      <w:r>
        <w:fldChar w:fldCharType="begin"/>
      </w:r>
      <w:r>
        <w:instrText xml:space="preserve"> XE "Eusebius" \f "Persons"</w:instrText>
      </w:r>
      <w:r>
        <w:fldChar w:fldCharType="end"/>
      </w:r>
      <w:r>
        <w:t>, who lists Tatian among the writers who arose under Marcus Aurelius</w:t>
      </w:r>
      <w:r>
        <w:fldChar w:fldCharType="begin"/>
      </w:r>
      <w:r>
        <w:instrText xml:space="preserve"> XE "Marcus Aurelius" \f "Persons"</w:instrText>
      </w:r>
      <w:r>
        <w:fldChar w:fldCharType="end"/>
      </w:r>
      <w:r>
        <w:t xml:space="preserve"> and also mentions Musanus</w:t>
      </w:r>
      <w:r>
        <w:fldChar w:fldCharType="begin"/>
      </w:r>
      <w:r>
        <w:instrText xml:space="preserve"> XE "Musanus" \f "Persons"</w:instrText>
      </w:r>
      <w:r>
        <w:fldChar w:fldCharType="end"/>
      </w:r>
      <w:r>
        <w:t xml:space="preserve">, from whom Tatian’s heresy, as soon as it arose, was said to have been defeated: Καὶ Μουσάνου δὲ, ὅν ἐν τοῖς φθάσασι κατελέξαμεν, φέρεταί τις ἐπιστρεπτικώτατος λόγος πρός τινας αὐτῷ γραφεὶς ἀδελφοὺς, ἀποκλίναντας ἐπὶ τὴν τῶν λεγομένην Ἐγκρατιτῶν αἵρεσιν, ἄρτι τότε φύειν ἀρχομένην, ξένην τε καὶ φθοριμαίαν ψευδοδοξίαν εἰσάγουσαν ἐν τῷ βίῳ. Ἧς παρεκτροπῆς ἀρχηγὸν καταστῆναι Τατιανὸν λόγος ἕχει. “And of Musanus, whom we mentioned among those who came before, there is said to be a very persuasive letter written to some brothers who had turned aside to the so-called sect of the Encratites, which was just then beginning to grow, introducing a strange and destructive false teaching in life. The letter says that Tatian was the leader of this error.” The same Eusebius in his </w:t>
      </w:r>
      <w:r>
        <w:rPr>
          <w:i/>
        </w:rPr>
        <w:t>Chronicle</w:t>
      </w:r>
      <w:r>
        <w:t xml:space="preserve"> places Tatian’s heresy in the twelfth year of Marcus Aurelius.</w:t>
      </w:r>
    </w:p>
    <w:p w14:paraId="096BD785" w14:textId="77777777" w:rsidR="005C2B3E" w:rsidRDefault="00000000">
      <w:pPr>
        <w:ind w:firstLine="360"/>
      </w:pPr>
      <w:r>
        <w:t>Then indeed Irenaeus</w:t>
      </w:r>
      <w:r>
        <w:fldChar w:fldCharType="begin"/>
      </w:r>
      <w:r>
        <w:instrText xml:space="preserve"> XE "Irenaeus" \f "Persons"</w:instrText>
      </w:r>
      <w:r>
        <w:fldChar w:fldCharType="end"/>
      </w:r>
      <w:r>
        <w:t xml:space="preserve">, who wrote nearly forty or at least thirty years after the year 151 of Christ, mentions Tatian’s heresy as recent and newly discovered. “They also </w:t>
      </w:r>
      <w:r>
        <w:lastRenderedPageBreak/>
        <w:t>contradict,” he says, book 1, chapter 28, “the salvation of him who was first formed; and this blasphemy was newly introduced among them by a certain Tatian.”</w:t>
      </w:r>
    </w:p>
    <w:p w14:paraId="0937C6D6" w14:textId="77777777" w:rsidR="005C2B3E" w:rsidRDefault="00000000">
      <w:pPr>
        <w:ind w:firstLine="360"/>
      </w:pPr>
      <w:r>
        <w:t>In Tatian</w:t>
      </w:r>
      <w:r>
        <w:fldChar w:fldCharType="begin"/>
      </w:r>
      <w:r>
        <w:instrText xml:space="preserve"> XE "Tatian" \f "Persons"</w:instrText>
      </w:r>
      <w:r>
        <w:fldChar w:fldCharType="end"/>
      </w:r>
      <w:r>
        <w:t xml:space="preserve">’s </w:t>
      </w:r>
      <w:r>
        <w:rPr>
          <w:i/>
        </w:rPr>
        <w:t>Oration</w:t>
      </w:r>
      <w:r>
        <w:t xml:space="preserve">, written before his heresy, there exists a rather sharp barb against Peregrinus or Proteus, which cannot be reconciled with the opinion we have refuted. For Tatian attacks that Cynic so fiercely that it seems he had already burned himself alive at that time, which indeed happened to him at the Olympic Games in the year 165, or at least under the name Proteus, which was given to him near the end of his life and seems to have been known to all. Tatian says thus, number 25: Καὶ λέγοντες μὲν δεῖσθαι μηδενός· κατὰ δὲ τὸν Πρωτέα σκυτοδέψου μὲν χρήζοντες διὰ τὴν πήραν, ὑφάντου δὲ διὰ τὸ ἱμάτιον, καὶ διὰ τὸ ξύλον δρυοτόμου, διὰ δὲ τὴν γαστριμαργίαν τῶν πλουτούντων καὶ ὀψοποιοῦ. “They say they need no one, but like Proteus they need a leatherworker for their bag, a weaver for their garment, a woodcutter for their staff, and a cook for the gluttony of the rich.” That Tatian uses the imitation of Proteus as a reproach to philosophers is proof that even then this story was known because of various life events and especially because of the most foolish kind of death. At least it is clear from Tatian’s words that the surname Proteus was by general agreement and reputation already given to Peregrinus. But this name was not gained in Egypt, as Tillemont conjectures less well, nor in Italy, to which he came after leaving Egypt, but in Greece, where Italy had driven him back, and this quite late, as Aulus Gellius testifies. “A philosopher named Peregrinus,” he says, book 12, chapter 11, “to whom later the surname Proteus was given, a serious and steady man, we saw while we were in Athens, living apart in a certain hut outside the city.” Therefore, Tatian could not have spread his heresy in the year 151 of Christ, and it is very likely that Epiphanius placed the twelfth year of Marcus Aurelius, in which Eusebius declares this heresy to have appeared, as the twelfth year of Antoninus. Since Eusebius has greater authority in such questions than Epiphanius, and since his opinion agrees very well with the matters concerning Tatian and Justin, some time must be allowed for Tatian after Justin was teaching in Rome; nor did he immediately leave Rome and begin to preach heresy, since the </w:t>
      </w:r>
      <w:r>
        <w:rPr>
          <w:i/>
        </w:rPr>
        <w:t>Oration against the Greeks</w:t>
      </w:r>
      <w:r>
        <w:t xml:space="preserve">, which he wrote after leaving Rome, lacks any sign of heresy. Therefore, since Justin gave his life for Christ around the year 167 or 168, Tatian’s heresy will not be improperly referred to the year 170. What Eusebius considers to have arisen in the year 172 in his </w:t>
      </w:r>
      <w:r>
        <w:rPr>
          <w:i/>
        </w:rPr>
        <w:t>Chronicle</w:t>
      </w:r>
      <w:r>
        <w:t xml:space="preserve"> either he did not say beforehand or said less accurately. For the Montanists, who clearly appeared in the year 171 for very serious reasons, seem somewhat more recent than Tatian and are counted after him, both by Tertullian in the book </w:t>
      </w:r>
      <w:r>
        <w:rPr>
          <w:i/>
        </w:rPr>
        <w:t>On Prescriptions</w:t>
      </w:r>
      <w:r>
        <w:t xml:space="preserve"> and by Epiphanius, although the latter places too great a space between Tatian and the Montanists.</w:t>
      </w:r>
    </w:p>
    <w:p w14:paraId="3BD3B817" w14:textId="77777777" w:rsidR="005C2B3E" w:rsidRDefault="00000000">
      <w:pPr>
        <w:ind w:firstLine="360"/>
      </w:pPr>
      <w:r>
        <w:t>It is not hidden from me that the origin of the Montanists is placed much earlier by Blondellus</w:t>
      </w:r>
      <w:r>
        <w:fldChar w:fldCharType="begin"/>
      </w:r>
      <w:r>
        <w:instrText xml:space="preserve"> XE "Blondellus" \f "Persons"</w:instrText>
      </w:r>
      <w:r>
        <w:fldChar w:fldCharType="end"/>
      </w:r>
      <w:r>
        <w:t xml:space="preserve"> and Maresius</w:t>
      </w:r>
      <w:r>
        <w:fldChar w:fldCharType="begin"/>
      </w:r>
      <w:r>
        <w:instrText xml:space="preserve"> XE "Maresius" \f "Persons"</w:instrText>
      </w:r>
      <w:r>
        <w:fldChar w:fldCharType="end"/>
      </w:r>
      <w:r>
        <w:t>, who argue that the Sibylline verses, which we have collected in eight books, are the work of Montanus</w:t>
      </w:r>
      <w:r>
        <w:fldChar w:fldCharType="begin"/>
      </w:r>
      <w:r>
        <w:instrText xml:space="preserve"> XE "Montanus" \f "Persons"</w:instrText>
      </w:r>
      <w:r>
        <w:fldChar w:fldCharType="end"/>
      </w:r>
      <w:r>
        <w:t xml:space="preserve">. This view is supported by a man </w:t>
      </w:r>
      <w:r>
        <w:lastRenderedPageBreak/>
        <w:t>whom I have praised more than once, Ludovicus Dufour de Longuerue</w:t>
      </w:r>
      <w:r>
        <w:fldChar w:fldCharType="begin"/>
      </w:r>
      <w:r>
        <w:instrText xml:space="preserve"> XE "Ludovicus Dufour de Longuerue" \f "Persons"</w:instrText>
      </w:r>
      <w:r>
        <w:fldChar w:fldCharType="end"/>
      </w:r>
      <w:r>
        <w:t>. In truth, the Montanists would be much older if the Sibylline verses were the work of Montanus, but the false prophecy about the deaths of both Lucius Verus and Hadrian shows that these verses were composed not only before the death of Lucius Verus but also before the death of Hadrian. For three emperors who would come after Hadrian are foretold: The third is said to rule last and late, Ὁ δὲ τρίτος ὀψὲ κρατήσει ἀπάντων. Hadrian himself is said to perish by a rod, Ὁ δὲ λίνος αὐτὸν ὀλεῖται. From this, the same very learned man rightly concludes that this writer shamefully fell into error because, unlike in other matters, he did not have the history of events to guide him but guessed that Hadrian would perish by a rod from the sharp pains among which he himself wished to bring about his death. It was likely that Lucius Verus, who was very young, would outlive Marcus Aurelius. Therefore, these books were written before Hadrian’s death. But no point of reason proves that Montanus was their author—not the praises of Phrygia, not the violent ecstasy of the Sibyl, nor even the prophecy of impending disasters. For in these things there is nothing that is proper to the Montanist sect. With better reason, the author of the Sibylline verses would be thought to be some Christian who was circumcised and kept the law. For he encourages Jewish purifications in book 4 and says that the righteous will wash their bodies daily with water at the second coming of the Lord, rising from their beds, in book 3.</w:t>
      </w:r>
    </w:p>
    <w:p w14:paraId="444A149C" w14:textId="77777777" w:rsidR="005C2B3E" w:rsidRDefault="00000000">
      <w:pPr>
        <w:ind w:firstLine="360"/>
      </w:pPr>
      <w:r>
        <w:t>II. Thus Tatian</w:t>
      </w:r>
      <w:r>
        <w:fldChar w:fldCharType="begin"/>
      </w:r>
      <w:r>
        <w:instrText xml:space="preserve"> XE "Tatian" \f "Persons"</w:instrText>
      </w:r>
      <w:r>
        <w:fldChar w:fldCharType="end"/>
      </w:r>
      <w:r>
        <w:t xml:space="preserve"> built up his heresy so that, while borrowing something from other heretics, he agreed neither with them nor with himself. He seems to have compiled the madness of Valentinus</w:t>
      </w:r>
      <w:r>
        <w:fldChar w:fldCharType="begin"/>
      </w:r>
      <w:r>
        <w:instrText xml:space="preserve"> XE "Valentinus" \f "Persons"</w:instrText>
      </w:r>
      <w:r>
        <w:fldChar w:fldCharType="end"/>
      </w:r>
      <w:r>
        <w:t xml:space="preserve"> in explaining the creation of the world. The Valentinians</w:t>
      </w:r>
      <w:r>
        <w:fldChar w:fldCharType="begin"/>
      </w:r>
      <w:r>
        <w:instrText xml:space="preserve"> XE "Valentinians" \f "Persons"</w:instrText>
      </w:r>
      <w:r>
        <w:fldChar w:fldCharType="end"/>
      </w:r>
      <w:r>
        <w:t xml:space="preserve"> said that all things were created by the true God through his Word, but with the help of the Demiurge or Creator, whose operation of divine Wisdom they pretended to be unaware of, so that he alone seemed to be the Creator. Tatian’s view was somewhat different, but no less impious, in a certain testimony which I have included in the appendix: he said that the Scripture phrase </w:t>
      </w:r>
      <w:r>
        <w:rPr>
          <w:i/>
        </w:rPr>
        <w:t>Let there be light</w:t>
      </w:r>
      <w:r>
        <w:t xml:space="preserve"> was that of one wishing and praying, not commanding. He also imagined, according to Irenaeus</w:t>
      </w:r>
      <w:r>
        <w:fldChar w:fldCharType="begin"/>
      </w:r>
      <w:r>
        <w:instrText xml:space="preserve"> XE "Irenaeus" \f "Persons"</w:instrText>
      </w:r>
      <w:r>
        <w:fldChar w:fldCharType="end"/>
      </w:r>
      <w:r>
        <w:t xml:space="preserve">, </w:t>
      </w:r>
      <w:r>
        <w:rPr>
          <w:i/>
        </w:rPr>
        <w:t>certain invisible Aeons</w:t>
      </w:r>
      <w:r>
        <w:t xml:space="preserve"> to explain the world. Hence Tertullian</w:t>
      </w:r>
      <w:r>
        <w:fldChar w:fldCharType="begin"/>
      </w:r>
      <w:r>
        <w:instrText xml:space="preserve"> XE "Tertullian" \f "Persons"</w:instrText>
      </w:r>
      <w:r>
        <w:fldChar w:fldCharType="end"/>
      </w:r>
      <w:r>
        <w:t xml:space="preserve"> says in </w:t>
      </w:r>
      <w:r>
        <w:rPr>
          <w:i/>
        </w:rPr>
        <w:t>On Prescription</w:t>
      </w:r>
      <w:r>
        <w:t>, chapter 52: “He is said to think entirely according to Valentinus.”</w:t>
      </w:r>
    </w:p>
    <w:p w14:paraId="69057EBC" w14:textId="77777777" w:rsidR="005C2B3E" w:rsidRDefault="00000000">
      <w:pPr>
        <w:ind w:firstLine="360"/>
      </w:pPr>
      <w:r>
        <w:t>Just as Valentinus</w:t>
      </w:r>
      <w:r>
        <w:fldChar w:fldCharType="begin"/>
      </w:r>
      <w:r>
        <w:instrText xml:space="preserve"> XE "Valentinus" \f "Persons"</w:instrText>
      </w:r>
      <w:r>
        <w:fldChar w:fldCharType="end"/>
      </w:r>
      <w:r>
        <w:t>, so also Tatian</w:t>
      </w:r>
      <w:r>
        <w:fldChar w:fldCharType="begin"/>
      </w:r>
      <w:r>
        <w:instrText xml:space="preserve"> XE "Tatian" \f "Persons"</w:instrText>
      </w:r>
      <w:r>
        <w:fldChar w:fldCharType="end"/>
      </w:r>
      <w:r>
        <w:t xml:space="preserve"> rejected the Mosaic law, declaring it to have been established not by the true God but by the Demiurge, as Clement of Alexandria</w:t>
      </w:r>
      <w:r>
        <w:fldChar w:fldCharType="begin"/>
      </w:r>
      <w:r>
        <w:instrText xml:space="preserve"> XE "Clement of Alexandria" \f "Persons"</w:instrText>
      </w:r>
      <w:r>
        <w:fldChar w:fldCharType="end"/>
      </w:r>
      <w:r>
        <w:t xml:space="preserve"> testifies in </w:t>
      </w:r>
      <w:r>
        <w:rPr>
          <w:i/>
        </w:rPr>
        <w:t>Stromata</w:t>
      </w:r>
      <w:r>
        <w:t xml:space="preserve"> iii, p. 460. Yet the Severians made use of the law and the prophets, as Eusebius</w:t>
      </w:r>
      <w:r>
        <w:fldChar w:fldCharType="begin"/>
      </w:r>
      <w:r>
        <w:instrText xml:space="preserve"> XE "Eusebius" \f "Persons"</w:instrText>
      </w:r>
      <w:r>
        <w:fldChar w:fldCharType="end"/>
      </w:r>
      <w:r>
        <w:t xml:space="preserve"> says, who declares Tatian to have been their first author and founder. Tatian himself used the testimony of the prophet Amos to forbid wine. It was not necessary for heretics of this kind to completely remove the Old Testament from their use, since, as Eusebius also testifies, they took the liberty of interpreting it in a way that could evade anything.</w:t>
      </w:r>
    </w:p>
    <w:p w14:paraId="12DBD8E0" w14:textId="77777777" w:rsidR="005C2B3E" w:rsidRDefault="00000000">
      <w:pPr>
        <w:ind w:firstLine="360"/>
      </w:pPr>
      <w:r>
        <w:lastRenderedPageBreak/>
        <w:t>Clement of Alexandria</w:t>
      </w:r>
      <w:r>
        <w:fldChar w:fldCharType="begin"/>
      </w:r>
      <w:r>
        <w:instrText xml:space="preserve"> XE "Clement of Alexandria" \f "Persons"</w:instrText>
      </w:r>
      <w:r>
        <w:fldChar w:fldCharType="end"/>
      </w:r>
      <w:r>
        <w:t xml:space="preserve"> speaks of Tatian</w:t>
      </w:r>
      <w:r>
        <w:fldChar w:fldCharType="begin"/>
      </w:r>
      <w:r>
        <w:instrText xml:space="preserve"> XE "Tatian" \f "Persons"</w:instrText>
      </w:r>
      <w:r>
        <w:fldChar w:fldCharType="end"/>
      </w:r>
      <w:r>
        <w:t xml:space="preserve"> in this way, as if he had given his name to the school of Valentinus</w:t>
      </w:r>
      <w:r>
        <w:fldChar w:fldCharType="begin"/>
      </w:r>
      <w:r>
        <w:instrText xml:space="preserve"> XE "Valentinus" \f "Persons"</w:instrText>
      </w:r>
      <w:r>
        <w:fldChar w:fldCharType="end"/>
      </w:r>
      <w:r>
        <w:t xml:space="preserve"> and then departed from it to form his own sect. Hardly can these words about Tatian in </w:t>
      </w:r>
      <w:r>
        <w:rPr>
          <w:i/>
        </w:rPr>
        <w:t>Stromata</w:t>
      </w:r>
      <w:r>
        <w:t xml:space="preserve"> iii, page 465, be interpreted otherwise: Ὁ δὲ ἐκ τῆν Οὐαλεντίνου ἐξεφοίτησε σχολῆς. Yet Irenaeus</w:t>
      </w:r>
      <w:r>
        <w:fldChar w:fldCharType="begin"/>
      </w:r>
      <w:r>
        <w:instrText xml:space="preserve"> XE "Irenaeus" \f "Persons"</w:instrText>
      </w:r>
      <w:r>
        <w:fldChar w:fldCharType="end"/>
      </w:r>
      <w:r>
        <w:t>, in the testimony I just cited, declares that Tatian left the Church with the intention of founding a new sect.</w:t>
      </w:r>
    </w:p>
    <w:p w14:paraId="171BD667" w14:textId="77777777" w:rsidR="005C2B3E" w:rsidRDefault="00000000">
      <w:pPr>
        <w:ind w:firstLine="360"/>
      </w:pPr>
      <w:r>
        <w:t>The opinion of Valentinus</w:t>
      </w:r>
      <w:r>
        <w:fldChar w:fldCharType="begin"/>
      </w:r>
      <w:r>
        <w:instrText xml:space="preserve"> XE "Valentinus" \f "Persons"</w:instrText>
      </w:r>
      <w:r>
        <w:fldChar w:fldCharType="end"/>
      </w:r>
      <w:r>
        <w:t>, although it was an insult to God as the creator of the world and was devised to overthrow the faith in the resurrection, was nevertheless milder in this respect than that of Marcion</w:t>
      </w:r>
      <w:r>
        <w:fldChar w:fldCharType="begin"/>
      </w:r>
      <w:r>
        <w:instrText xml:space="preserve"> XE "Marcion" \f "Persons"</w:instrText>
      </w:r>
      <w:r>
        <w:fldChar w:fldCharType="end"/>
      </w:r>
      <w:r>
        <w:t>, because it neither completely denied the flesh of Christ nor imposed the necessity of rejecting what was acknowledged to have been created by the Demiurge from the true God. But Tatian</w:t>
      </w:r>
      <w:r>
        <w:fldChar w:fldCharType="begin"/>
      </w:r>
      <w:r>
        <w:instrText xml:space="preserve"> XE "Tatian" \f "Persons"</w:instrText>
      </w:r>
      <w:r>
        <w:fldChar w:fldCharType="end"/>
      </w:r>
      <w:r>
        <w:t xml:space="preserve"> did not hesitate to borrow from Marcion what seemed to be lacking in Valentinus for the height of impiety. “He preached,” says Irenaeus, “that marriage is corruption and fornication, just like Marcion and Saturninus</w:t>
      </w:r>
      <w:r>
        <w:fldChar w:fldCharType="begin"/>
      </w:r>
      <w:r>
        <w:instrText xml:space="preserve"> XE "Saturninus" \f "Persons"</w:instrText>
      </w:r>
      <w:r>
        <w:fldChar w:fldCharType="end"/>
      </w:r>
      <w:r>
        <w:t>.” Indeed, he seemed to attribute the institution of marriage to the devil, according to Clement of Alexandria</w:t>
      </w:r>
      <w:r>
        <w:fldChar w:fldCharType="begin"/>
      </w:r>
      <w:r>
        <w:instrText xml:space="preserve"> XE "Clement of Alexandria" \f "Persons"</w:instrText>
      </w:r>
      <w:r>
        <w:fldChar w:fldCharType="end"/>
      </w:r>
      <w:r>
        <w:t>. For he interpreted Paul</w:t>
      </w:r>
      <w:r>
        <w:fldChar w:fldCharType="begin"/>
      </w:r>
      <w:r>
        <w:instrText xml:space="preserve"> XE "Paul" \f "Persons"</w:instrText>
      </w:r>
      <w:r>
        <w:fldChar w:fldCharType="end"/>
      </w:r>
      <w:r>
        <w:t xml:space="preserve"> in such a way as to claim that Paul forbade the use of marriage by permitting it and that he prohibited it as a work addicted to fornication and the devil. We have the words of Tatian in the Appendix, part ii.</w:t>
      </w:r>
    </w:p>
    <w:p w14:paraId="21FCFCC5" w14:textId="77777777" w:rsidR="005C2B3E" w:rsidRDefault="00000000">
      <w:pPr>
        <w:ind w:firstLine="360"/>
      </w:pPr>
      <w:r>
        <w:t>Tatian</w:t>
      </w:r>
      <w:r>
        <w:fldChar w:fldCharType="begin"/>
      </w:r>
      <w:r>
        <w:instrText xml:space="preserve"> XE "Tatian" \f "Persons"</w:instrText>
      </w:r>
      <w:r>
        <w:fldChar w:fldCharType="end"/>
      </w:r>
      <w:r>
        <w:t xml:space="preserve"> also took from Saturninus and Marcion, as Theodoretes</w:t>
      </w:r>
      <w:r>
        <w:fldChar w:fldCharType="begin"/>
      </w:r>
      <w:r>
        <w:instrText xml:space="preserve"> XE "Theodoretes" \f "Persons"</w:instrText>
      </w:r>
      <w:r>
        <w:fldChar w:fldCharType="end"/>
      </w:r>
      <w:r>
        <w:t xml:space="preserve"> testifies in book 1 of </w:t>
      </w:r>
      <w:r>
        <w:rPr>
          <w:i/>
        </w:rPr>
        <w:t>Hæret. fab.</w:t>
      </w:r>
      <w:r>
        <w:t>, chapter 20, that he should abhor the use of animals and wine, not only marriage. He abused the authority of the prophet Amos to defend his impiety: “From this passage,” says Jerome</w:t>
      </w:r>
      <w:r>
        <w:fldChar w:fldCharType="begin"/>
      </w:r>
      <w:r>
        <w:instrText xml:space="preserve"> XE "Jerome" \f "Persons"</w:instrText>
      </w:r>
      <w:r>
        <w:fldChar w:fldCharType="end"/>
      </w:r>
      <w:r>
        <w:t xml:space="preserve"> on Amos, chapter 2, “Tatian, the leader of the Encratites, tries to build his heresy, claiming that wine should not be drunk, although it is commanded by the law that Nazarenes should not drink wine, and now they are accused by the prophet who offers wine to Nazarenes.” In celebrating the mysteries, he wanted only water to be used: “Similarly, certain mysteries,” says Epiphanius, “he established in imitation of the holy Church, but for them he used nothing except water.”</w:t>
      </w:r>
    </w:p>
    <w:p w14:paraId="0179D2C2" w14:textId="77777777" w:rsidR="005C2B3E" w:rsidRDefault="00000000">
      <w:pPr>
        <w:ind w:firstLine="360"/>
      </w:pPr>
      <w:r>
        <w:t>III. It may be rightly asked whether Tatian</w:t>
      </w:r>
      <w:r>
        <w:fldChar w:fldCharType="begin"/>
      </w:r>
      <w:r>
        <w:instrText xml:space="preserve"> XE "Tatian" \f "Persons"</w:instrText>
      </w:r>
      <w:r>
        <w:fldChar w:fldCharType="end"/>
      </w:r>
      <w:r>
        <w:t xml:space="preserve"> attributed a supposed flesh to Christ, and in this matter, as in many others, he fled from the side of Valentinus to the camp of Marcion</w:t>
      </w:r>
      <w:r>
        <w:fldChar w:fldCharType="begin"/>
      </w:r>
      <w:r>
        <w:instrText xml:space="preserve"> XE "Marcion" \f "Persons"</w:instrText>
      </w:r>
      <w:r>
        <w:fldChar w:fldCharType="end"/>
      </w:r>
      <w:r>
        <w:t>. For we read these things about him from Jerome</w:t>
      </w:r>
      <w:r>
        <w:fldChar w:fldCharType="begin"/>
      </w:r>
      <w:r>
        <w:instrText xml:space="preserve"> XE "Jerome" \f "Persons"</w:instrText>
      </w:r>
      <w:r>
        <w:fldChar w:fldCharType="end"/>
      </w:r>
      <w:r>
        <w:t xml:space="preserve"> in his </w:t>
      </w:r>
      <w:r>
        <w:rPr>
          <w:i/>
        </w:rPr>
        <w:t>Commentary on chapter</w:t>
      </w:r>
      <w:r>
        <w:t xml:space="preserve"> 6 of Galatians: “Tatian, who introducing the supposed flesh of Christ, considers all union of male to female unclean, is the fiercest heresiarch of the Encratites, and used this argument against us under the pretext of the present testimony, etc.” On the strength of this testimony, Tillemont judges that Tatian taught the same about Christ’s flesh as Marcion. But the learned editor of St</w:t>
      </w:r>
      <w:r>
        <w:fldChar w:fldCharType="begin"/>
      </w:r>
      <w:r>
        <w:instrText xml:space="preserve"> XE "St" \f "Persons"</w:instrText>
      </w:r>
      <w:r>
        <w:fldChar w:fldCharType="end"/>
      </w:r>
      <w:r>
        <w:t>. Jerome’s works, in the very ancient Cluniac code and in the royal code 3758, warns us that the reading is not Tatian but Cassian</w:t>
      </w:r>
      <w:r>
        <w:fldChar w:fldCharType="begin"/>
      </w:r>
      <w:r>
        <w:instrText xml:space="preserve"> XE "Cassian" \f "Persons"</w:instrText>
      </w:r>
      <w:r>
        <w:fldChar w:fldCharType="end"/>
      </w:r>
      <w:r>
        <w:t xml:space="preserve">. I would very much approve of preserving this reading in those codices. It was easy and natural that the name Tatian, very famous except to </w:t>
      </w:r>
      <w:r>
        <w:lastRenderedPageBreak/>
        <w:t>hardly anyone besides Clement</w:t>
      </w:r>
      <w:r>
        <w:fldChar w:fldCharType="begin"/>
      </w:r>
      <w:r>
        <w:instrText xml:space="preserve"> XE "Clement" \f "Persons"</w:instrText>
      </w:r>
      <w:r>
        <w:fldChar w:fldCharType="end"/>
      </w:r>
      <w:r>
        <w:t xml:space="preserve"> of Alexandria</w:t>
      </w:r>
      <w:r>
        <w:fldChar w:fldCharType="begin"/>
      </w:r>
      <w:r>
        <w:instrText xml:space="preserve"> XE "Clement of Alexandria" \f "Persons"</w:instrText>
      </w:r>
      <w:r>
        <w:fldChar w:fldCharType="end"/>
      </w:r>
      <w:r>
        <w:t xml:space="preserve">, should creep in instead of Cassian. But it is much more difficult that the scribes would put Cassian in place of Tatian. Moreover, Jerome’s testimony fits Cassian very well. He held the same opinion about marriage as Tatian, as Clement clearly shows in </w:t>
      </w:r>
      <w:r>
        <w:rPr>
          <w:i/>
        </w:rPr>
        <w:t>Stromata</w:t>
      </w:r>
      <w:r>
        <w:t xml:space="preserve"> iii, page 465. Therefore, he could rightly be called the fiercest heresiarch of the Encratites. Furthermore, there the leader of the Docetists, that is, those who imagined the supposed flesh of Christ, is called by Clement ὁ τῆς δοκήσεως ἐξάρχων. This indeed was consistent with his commentary on the creation of the world and his opinion about Christ’s flesh. For Cassian said in the book </w:t>
      </w:r>
      <w:r>
        <w:rPr>
          <w:i/>
        </w:rPr>
        <w:t>On Continence</w:t>
      </w:r>
      <w:r>
        <w:t>: Εἰ γὰρ ἦν παρὰ Θεοῦ εἰς ὃν σπεύδομεν ἡ τοιαύτη διασκευὴ, οὐκ ἃν ἐμακάρισε τοὺς εὐνούχους. “If this were the constitution of the body from that God to whom we hasten, he would not have blessed eunuchs.” From this it is clear that Cassian did not, like Valentinus, think that all things were created by the true God through the Demiurge, but rather, like Marcion, rejected the creation of the world by the true God, or at least the human body. Therefore, it is not surprising if he left no flesh at all to Christ. But Tatian in those things which concern creation is entirely Valentinian; and no one reports that he thought the same about Christ’s flesh as Marcion. Irenaeus, Clement, and Epiphanius carefully collect what Tatian added by his own effort to the dreams of the Valentinians, and what he derived from the sources of Saturninus and Marcion. But nothing should have been mentioned earlier or rather first than this opinion about Christ’s flesh, if indeed Tatian was its supporter. Indeed, the sect of the Docetists should not have been separated from the Encratites, but considered one and the same, and its leadership should not have been assigned to Cassian, as we have seen done by Clement, but to Tatian, who is known to have been more famous, and Clemens clearly indicates that he was older by listing him before Cassian and declaring that Cassian agreed with him about marriage. Therefore, the scribes seem to have made some error in this place of Jerome; and even if it is considered intact, I do not know whether less credit should be given to Jerome in this matter than to other Fathers who not only remain silent about this error of Tatian, which they should have especially mentioned, but also distinguish the Docetists from the Encratite heresy, assigning Cassian as leader to one and Tatian to the other.</w:t>
      </w:r>
    </w:p>
    <w:p w14:paraId="39971101" w14:textId="77777777" w:rsidR="005C2B3E" w:rsidRDefault="00000000">
      <w:pPr>
        <w:ind w:firstLine="360"/>
      </w:pPr>
      <w:r>
        <w:t>But perhaps before we substitute the name of Cassian</w:t>
      </w:r>
      <w:r>
        <w:fldChar w:fldCharType="begin"/>
      </w:r>
      <w:r>
        <w:instrText xml:space="preserve"> XE "Cassian" \f "Persons"</w:instrText>
      </w:r>
      <w:r>
        <w:fldChar w:fldCharType="end"/>
      </w:r>
      <w:r>
        <w:t xml:space="preserve"> for Tatian</w:t>
      </w:r>
      <w:r>
        <w:fldChar w:fldCharType="begin"/>
      </w:r>
      <w:r>
        <w:instrText xml:space="preserve"> XE "Tatian" \f "Persons"</w:instrText>
      </w:r>
      <w:r>
        <w:fldChar w:fldCharType="end"/>
      </w:r>
      <w:r>
        <w:t xml:space="preserve"> in Jerome</w:t>
      </w:r>
      <w:r>
        <w:fldChar w:fldCharType="begin"/>
      </w:r>
      <w:r>
        <w:instrText xml:space="preserve"> XE "Jerome" \f "Persons"</w:instrText>
      </w:r>
      <w:r>
        <w:fldChar w:fldCharType="end"/>
      </w:r>
      <w:r>
        <w:t>, it will be objected to Tatian’s offense that he cut out the genealogies and all other things from the Gospel “which show the Lord,” as Theodoret</w:t>
      </w:r>
      <w:r>
        <w:fldChar w:fldCharType="begin"/>
      </w:r>
      <w:r>
        <w:instrText xml:space="preserve"> XE "Theodoret" \f "Persons"</w:instrText>
      </w:r>
      <w:r>
        <w:fldChar w:fldCharType="end"/>
      </w:r>
      <w:r>
        <w:t xml:space="preserve"> says, “born according to the flesh from the seed of David.” But it is not necessary to resort to a phantasmal flesh to explain this crime of Tatian. The heresy of the Valentinians, which taught that Christ took nothing from Mary but had flesh from elsewhere and passed through Mary as through a channel, could have given him strong enough motives to dare this.</w:t>
      </w:r>
    </w:p>
    <w:p w14:paraId="73741380" w14:textId="77777777" w:rsidR="005C2B3E" w:rsidRDefault="00000000">
      <w:pPr>
        <w:ind w:firstLine="360"/>
      </w:pPr>
      <w:r>
        <w:t>IV. Tatian</w:t>
      </w:r>
      <w:r>
        <w:fldChar w:fldCharType="begin"/>
      </w:r>
      <w:r>
        <w:instrText xml:space="preserve"> XE "Tatian" \f "Persons"</w:instrText>
      </w:r>
      <w:r>
        <w:fldChar w:fldCharType="end"/>
      </w:r>
      <w:r>
        <w:t xml:space="preserve"> seemed to himself not to deserve much praise by adding the teachings of Saturninus</w:t>
      </w:r>
      <w:r>
        <w:fldChar w:fldCharType="begin"/>
      </w:r>
      <w:r>
        <w:instrText xml:space="preserve"> XE "Saturninus" \f "Persons"</w:instrText>
      </w:r>
      <w:r>
        <w:fldChar w:fldCharType="end"/>
      </w:r>
      <w:r>
        <w:t xml:space="preserve"> and Valentinus</w:t>
      </w:r>
      <w:r>
        <w:fldChar w:fldCharType="begin"/>
      </w:r>
      <w:r>
        <w:instrText xml:space="preserve"> XE "Valentinus" \f "Persons"</w:instrText>
      </w:r>
      <w:r>
        <w:fldChar w:fldCharType="end"/>
      </w:r>
      <w:r>
        <w:t xml:space="preserve"> to his own use, unless he also produced something that </w:t>
      </w:r>
      <w:r>
        <w:lastRenderedPageBreak/>
        <w:t>seemed new and properly his own. Therefore, to commend his name to posterity, he denied the salvation of Adam, which had not occurred to anyone before him. This error of his, as impiety, was detested by Irenaeus</w:t>
      </w:r>
      <w:r>
        <w:fldChar w:fldCharType="begin"/>
      </w:r>
      <w:r>
        <w:instrText xml:space="preserve"> XE "Irenaeus" \f "Persons"</w:instrText>
      </w:r>
      <w:r>
        <w:fldChar w:fldCharType="end"/>
      </w:r>
      <w:r>
        <w:t>, Tertullian</w:t>
      </w:r>
      <w:r>
        <w:fldChar w:fldCharType="begin"/>
      </w:r>
      <w:r>
        <w:instrText xml:space="preserve"> XE "Tertullian" \f "Persons"</w:instrText>
      </w:r>
      <w:r>
        <w:fldChar w:fldCharType="end"/>
      </w:r>
      <w:r>
        <w:t>, Epiphanius</w:t>
      </w:r>
      <w:r>
        <w:fldChar w:fldCharType="begin"/>
      </w:r>
      <w:r>
        <w:instrText xml:space="preserve"> XE "Epiphanius" \f "Persons"</w:instrText>
      </w:r>
      <w:r>
        <w:fldChar w:fldCharType="end"/>
      </w:r>
      <w:r>
        <w:t>, Philastrius</w:t>
      </w:r>
      <w:r>
        <w:fldChar w:fldCharType="begin"/>
      </w:r>
      <w:r>
        <w:instrText xml:space="preserve"> XE "Philastrius" \f "Persons"</w:instrText>
      </w:r>
      <w:r>
        <w:fldChar w:fldCharType="end"/>
      </w:r>
      <w:r>
        <w:t>, Augustine</w:t>
      </w:r>
      <w:r>
        <w:fldChar w:fldCharType="begin"/>
      </w:r>
      <w:r>
        <w:instrText xml:space="preserve"> XE "Augustine" \f "Persons"</w:instrText>
      </w:r>
      <w:r>
        <w:fldChar w:fldCharType="end"/>
      </w:r>
      <w:r>
        <w:t>, and Theodoret</w:t>
      </w:r>
      <w:r>
        <w:fldChar w:fldCharType="begin"/>
      </w:r>
      <w:r>
        <w:instrText xml:space="preserve"> XE "Theodoret" \f "Persons"</w:instrText>
      </w:r>
      <w:r>
        <w:fldChar w:fldCharType="end"/>
      </w:r>
      <w:r>
        <w:t xml:space="preserve">. Irenaeus refuted this heresy in book iii, chapter 23, arguing that other men would be saved if Adam were not saved, and that the devil would be denied to be conquered and overcome by Christ if he, whom the devil had defeated and thrown into chains, were not rescued from Christ’s hands and vindicated into freedom. Likewise, Tertullian in the book </w:t>
      </w:r>
      <w:r>
        <w:rPr>
          <w:i/>
        </w:rPr>
        <w:t>On Prescription</w:t>
      </w:r>
      <w:r>
        <w:t xml:space="preserve">, chapter 52, maintains that the root is saved if the branches are saved. And Epiphanius, </w:t>
      </w:r>
      <w:r>
        <w:rPr>
          <w:i/>
        </w:rPr>
        <w:t>Haer.</w:t>
      </w:r>
      <w:r>
        <w:t xml:space="preserve"> 46: Καὶ εἰ ὁ Ἀδὰμ οὐ σώζεται, τὸ φύραμα, οὐδέ τι τοῦ φυράματος σώζεται. “If Adam has not obtained salvation, that is the mass of the whole kind; nor can any part of this mass be saved.” I hardly find anything that pushed Tatian to utter these things except a foolish eagerness for novelty, as Irenaeus thought. For the Valentinians and almost all other Gnostics, since they said that Sophia injected a spiritual seed into Adam formed by the hands of the Demiurge, and since they held that no one adorned with this seed could perish in holiness and salvation, they were forced to acknowledge the necessity of Adam’s salvation. Moreover, Tatian himself, as Epiphanius observes, the more he hated marriage, the more he had to consider Adam created without marriage as more just.</w:t>
      </w:r>
    </w:p>
    <w:p w14:paraId="471D0D63" w14:textId="77777777" w:rsidR="005C2B3E" w:rsidRDefault="00000000">
      <w:pPr>
        <w:ind w:firstLine="360"/>
      </w:pPr>
      <w:r>
        <w:t>However, it seems that this impious opinion about marriage led him to treat Adam unjustly. For detractors of marriage, as Clement of Alexandria</w:t>
      </w:r>
      <w:r>
        <w:fldChar w:fldCharType="begin"/>
      </w:r>
      <w:r>
        <w:instrText xml:space="preserve"> XE "Clement of Alexandria" \f "Persons"</w:instrText>
      </w:r>
      <w:r>
        <w:fldChar w:fldCharType="end"/>
      </w:r>
      <w:r>
        <w:t xml:space="preserve"> testifies in </w:t>
      </w:r>
      <w:r>
        <w:rPr>
          <w:i/>
        </w:rPr>
        <w:t>Stromata</w:t>
      </w:r>
      <w:r>
        <w:t xml:space="preserve"> iii, p. 470, interpreted the taste of the tree as forbidding the use of marriage, which they falsely claimed was forbidden by the Creator. Hence, they said that the author of marriage was not the Creator but the devil, who had seduced Adam and Eve. Yet, even if Adam had violated the Creator’s command, this should not have prevented Christ, far more powerful than the Creator, as those triflers said, from rescuing him. But out of hatred for marriage, Tatian</w:t>
      </w:r>
      <w:r>
        <w:fldChar w:fldCharType="begin"/>
      </w:r>
      <w:r>
        <w:instrText xml:space="preserve"> XE "Tatian" \f "Persons"</w:instrText>
      </w:r>
      <w:r>
        <w:fldChar w:fldCharType="end"/>
      </w:r>
      <w:r>
        <w:t xml:space="preserve"> seems to have vomited forth his poison against the originator of marriage, imagining him left not freed by Christ but abandoned to the judgment of the angry Creator (for they said no one was condemned by Christ).</w:t>
      </w:r>
    </w:p>
    <w:p w14:paraId="40975A6B" w14:textId="77777777" w:rsidR="005C2B3E" w:rsidRDefault="00000000">
      <w:pPr>
        <w:ind w:firstLine="360"/>
      </w:pPr>
      <w:r>
        <w:t>In the place already cited in Tertullian</w:t>
      </w:r>
      <w:r>
        <w:fldChar w:fldCharType="begin"/>
      </w:r>
      <w:r>
        <w:instrText xml:space="preserve"> XE "Tertullian" \f "Persons"</w:instrText>
      </w:r>
      <w:r>
        <w:fldChar w:fldCharType="end"/>
      </w:r>
      <w:r>
        <w:t>, Tatian</w:t>
      </w:r>
      <w:r>
        <w:fldChar w:fldCharType="begin"/>
      </w:r>
      <w:r>
        <w:instrText xml:space="preserve"> XE "Tatian" \f "Persons"</w:instrText>
      </w:r>
      <w:r>
        <w:fldChar w:fldCharType="end"/>
      </w:r>
      <w:r>
        <w:t xml:space="preserve"> is said to have taught that </w:t>
      </w:r>
      <w:r>
        <w:rPr>
          <w:i/>
        </w:rPr>
        <w:t>Adam could not obtain salvation;</w:t>
      </w:r>
      <w:r>
        <w:t xml:space="preserve"> but this comes back to the same thing that other writers said about Tatian. For if it is assumed that the supposed spiritual seed was not injected into Adam, which Achamoth, or Wisdom, secretly injected into the souls of the elect by the Creator, then Adam could no longer obtain salvation.</w:t>
      </w:r>
    </w:p>
    <w:p w14:paraId="09749158" w14:textId="77777777" w:rsidR="005C2B3E" w:rsidRDefault="00000000">
      <w:pPr>
        <w:ind w:firstLine="360"/>
      </w:pPr>
      <w:r>
        <w:t>V. The followers of Tatian</w:t>
      </w:r>
      <w:r>
        <w:fldChar w:fldCharType="begin"/>
      </w:r>
      <w:r>
        <w:instrText xml:space="preserve"> XE "Tatian" \f "Persons"</w:instrText>
      </w:r>
      <w:r>
        <w:fldChar w:fldCharType="end"/>
      </w:r>
      <w:r>
        <w:t xml:space="preserve"> are called Tatiani and Tatianites, Encratites, Severians, Hydroparastatae, Apotactites, Saccophori, Apostolici, names by which partly Tatian’s own sect and partly others separated from it are designated. Epiphanius</w:t>
      </w:r>
      <w:r>
        <w:fldChar w:fldCharType="begin"/>
      </w:r>
      <w:r>
        <w:instrText xml:space="preserve"> XE "Epiphanius" \f "Persons"</w:instrText>
      </w:r>
      <w:r>
        <w:fldChar w:fldCharType="end"/>
      </w:r>
      <w:r>
        <w:t xml:space="preserve"> distinguished the Tatiani from the Severians and Encratites, and he thinks that Severian preceded Tatian, and Tatian preceded the Encratites. But Irenaeus</w:t>
      </w:r>
      <w:r>
        <w:fldChar w:fldCharType="begin"/>
      </w:r>
      <w:r>
        <w:instrText xml:space="preserve"> XE "Irenaeus" \f "Persons"</w:instrText>
      </w:r>
      <w:r>
        <w:fldChar w:fldCharType="end"/>
      </w:r>
      <w:r>
        <w:t>, Clement</w:t>
      </w:r>
      <w:r>
        <w:fldChar w:fldCharType="begin"/>
      </w:r>
      <w:r>
        <w:instrText xml:space="preserve"> XE "Clement" \f "Persons"</w:instrText>
      </w:r>
      <w:r>
        <w:fldChar w:fldCharType="end"/>
      </w:r>
      <w:r>
        <w:t>, Eusebius</w:t>
      </w:r>
      <w:r>
        <w:fldChar w:fldCharType="begin"/>
      </w:r>
      <w:r>
        <w:instrText xml:space="preserve"> XE "Eusebius" \f "Persons"</w:instrText>
      </w:r>
      <w:r>
        <w:fldChar w:fldCharType="end"/>
      </w:r>
      <w:r>
        <w:t xml:space="preserve">, and </w:t>
      </w:r>
      <w:r>
        <w:lastRenderedPageBreak/>
        <w:t>Theodoret</w:t>
      </w:r>
      <w:r>
        <w:fldChar w:fldCharType="begin"/>
      </w:r>
      <w:r>
        <w:instrText xml:space="preserve"> XE "Theodoret" \f "Persons"</w:instrText>
      </w:r>
      <w:r>
        <w:fldChar w:fldCharType="end"/>
      </w:r>
      <w:r>
        <w:t xml:space="preserve"> called Tatian the father and founder of the Encratite sect. Eusebius adds that </w:t>
      </w:r>
      <w:r>
        <w:rPr>
          <w:i/>
        </w:rPr>
        <w:t>not long after, a certain Severus, having strengthened and empowered the above-mentioned heresy, was involved in the reason why the men of that sect were called Severians from his name.</w:t>
      </w:r>
      <w:r>
        <w:t xml:space="preserve"> Therefore, Tatian’s heresy spread widely; and Epiphanius rightly does not limit it to the borders of Antioch, Cilicia, and Pisidia, since the Encratites, as he himself admits, were spread not only in these regions but also in scorched Phrygia, in Isauria, Pamphylia, Galatia, and even in the Roman territory. Epiphanius was also led by this less accurate distinction between Tatianites and Encratites to believe that Tatian’s sect had died out in the fourth century. But since it is clear from Epiphanius himself that the Encratites existed in that century, and especially from Basil</w:t>
      </w:r>
      <w:r>
        <w:fldChar w:fldCharType="begin"/>
      </w:r>
      <w:r>
        <w:instrText xml:space="preserve"> XE "Basil" \f "Persons"</w:instrText>
      </w:r>
      <w:r>
        <w:fldChar w:fldCharType="end"/>
      </w:r>
      <w:r>
        <w:t>, from whom many things about their baptism are read, it necessarily follows that the sect founded by Tatian, which is none other than that of the Encratites, persisted until that time. Basil, although he was accustomed to rebaptize heretics, nevertheless received two bishops from this sect, Zoinus and Saturninus, into the episcopal chair for great benefit, disregarding custom, and he recognized not only their baptism but also their ordination as valid.</w:t>
      </w:r>
    </w:p>
    <w:p w14:paraId="57F8819C" w14:textId="77777777" w:rsidR="005C2B3E" w:rsidRDefault="00000000">
      <w:pPr>
        <w:ind w:firstLine="360"/>
      </w:pPr>
      <w:r>
        <w:t xml:space="preserve">Epiphanius seems to suspect the Encratites, while boasting chastity, not so much of shunning pleasures as of seeking hiding places for secret crimes. Thus he speaks of Tatian, the heretic. 46: Ἐν τῷ προσχήματι τῆς ἐγκρατείας καὶ τοῦ ἐγκρατητικοῦ ἤθους κυβευτικὴν ἕσχε τὴν ἀγωγήν· ὡς λύκος ἅρπαξ ἐνδυόμενος προβάτου κωδίον, καὶ πλανῶν τῷ προσκαίρῳ προσχήματι τοὺς ἀπατωμένους. “Under the appearance of continence and a temperate character, he held a deceitful conduct; like a rapacious wolf putting on a sheep’s skin, and deceiving the deceived by a timely disguise.” And about the Encratites, heretic. 47: Σεμνύνονται δὲ δῆθεν ἐγκράτειαν σφαλερῶς τὰ πάντα ἐργαζόμενοι, μέσον γυναικῶν εὐρισκόμενοι, καὶ γυναῖκας πανταχόθεν ἀπατῶντες, καὶ συνδιαιτώμενοι, καὶ ἐξυπηρετούμενοι ὑπὸ τῶν τοιούτων, ἕξω μὲν τῆς ἀληθείας ὄντες, μόρφωσιν δὲ μᾶλλον κεκτημένοι, τὴν δὲ δύναμιν αὐτῆς τῆς εὐσεβείας ἠρνημένοι. “They boast of continence but do everything falsely, constantly among women, deceiving women everywhere, living together with them, and being served by such; being outside the truth, but rather having the form, and denying the power of true piety.” What they really boast of as continence is indeed a slippery and dangerous crime. For they constantly associate with women, whom they seduce from everywhere; they travel with them and live together, and use their services. Therefore, since they are far from the truth, they show nothing but a false appearance of it; they deny the very power of sincere piety. Irenaeus and Clement of Alexandria objected nothing like this to Tatian, who, if we believe them, did not show a careless desire for chastity for a time, as Epiphanius seems to think, but held it firmly. Therefore, what Epiphanius blames in the Encratites seems to have been introduced into this sect over time, since their ancestors professed that impious but still steadfast chastity. Irenaeus opposes </w:t>
      </w:r>
      <w:r>
        <w:lastRenderedPageBreak/>
        <w:t xml:space="preserve">them to other heretics who sin in the opposite way and give all freedom to vice. For after speaking about Tatian, he goes on to others: “Others, again, taking occasion from Basilides and Carpocrates, introduced indifferent sexual relations and many marriages, and said that God does not care much about their negligence, which are idols to be eaten.” Similarly, Clement of Alexandria refutes those two heresies, as fighting with opposite fronts, in the whole third book of the </w:t>
      </w:r>
      <w:r>
        <w:rPr>
          <w:i/>
        </w:rPr>
        <w:t>Stromata</w:t>
      </w:r>
      <w:r>
        <w:t>: Φέρε εἰς δύο διελόντες πράγματα ἁπάσας τὰς αἱρέσεις, ἀποκρινώμεθα αὐτοῖς. Ἢ γὰρ τὸ ἀδιαφόρως ζῇν διδάσκουσιν, ἢ τὸ ὑπέρτονον ἄγουσαι, ἐγκράτειαν διὰ δυσσεβείας καὶ φιλαπεχθημοσύνης καταγγέλλουσι. “Come, let us divide all heresies into two parts and answer them: for either they teach to live indifferently, or they lead to excessive continence, which they accuse through impiety and hatred of mankind.”</w:t>
      </w:r>
    </w:p>
    <w:p w14:paraId="739110B1" w14:textId="77777777" w:rsidR="005C2B3E" w:rsidRDefault="00000000">
      <w:pPr>
        <w:ind w:firstLine="360"/>
      </w:pPr>
      <w:r>
        <w:t>Epiphanius</w:t>
      </w:r>
      <w:r>
        <w:fldChar w:fldCharType="begin"/>
      </w:r>
      <w:r>
        <w:instrText xml:space="preserve"> XE "Epiphanius" \f "Persons"</w:instrText>
      </w:r>
      <w:r>
        <w:fldChar w:fldCharType="end"/>
      </w:r>
      <w:r>
        <w:t xml:space="preserve"> does not agree more with these two writers when he testifies that the Encratites believe in the resurrection of the dead. For Clement</w:t>
      </w:r>
      <w:r>
        <w:fldChar w:fldCharType="begin"/>
      </w:r>
      <w:r>
        <w:instrText xml:space="preserve"> XE "Clement" \f "Persons"</w:instrText>
      </w:r>
      <w:r>
        <w:fldChar w:fldCharType="end"/>
      </w:r>
      <w:r>
        <w:t xml:space="preserve"> interprets resurrection as if they already possess it, and therefore say they avoid marriage. Hence Clement lashes them out thus: Εἰ γὰρ οὗν τὴν ἀνάστασιν ἀπειλήφασιν, ὡς αὐτοὶ λέγουσι, καὶ διὰ τοῦτο ἀθετοῦσι τὸν γάμον, μηδὲ ἐσθιέτωσαν μηδὲ πινέτωσαν· καταργεῖσθαι γὰρ ἔφη τὴν κοιλίαν, καὶ τὰ βρώματα ὁ Ἀπόστολος ἐν τῇ ἀναστάσει. “If then they have received the resurrection, as they say themselves, and for this reason reject marriage, they should neither eat nor drink. For the Apostle said that the belly and food would be destroyed in the resurrection.” Irenaeus</w:t>
      </w:r>
      <w:r>
        <w:fldChar w:fldCharType="begin"/>
      </w:r>
      <w:r>
        <w:instrText xml:space="preserve"> XE "Irenaeus" \f "Persons"</w:instrText>
      </w:r>
      <w:r>
        <w:fldChar w:fldCharType="end"/>
      </w:r>
      <w:r>
        <w:t xml:space="preserve"> accepts no one at all from the heretics who reject the Creator, who admitted the resurrection, and in this matter he departs from his own wicked principles about creation, book 1, chapter 22.</w:t>
      </w:r>
    </w:p>
    <w:p w14:paraId="1F3A3A08" w14:textId="77777777" w:rsidR="005C2B3E" w:rsidRDefault="00000000">
      <w:pPr>
        <w:pStyle w:val="Heading3"/>
      </w:pPr>
      <w:r>
        <w:t>CHAPTER 12</w:t>
      </w:r>
    </w:p>
    <w:p w14:paraId="17D115C2" w14:textId="77777777" w:rsidR="005C2B3E" w:rsidRDefault="00000000">
      <w:pPr>
        <w:pStyle w:val="Heading4"/>
      </w:pPr>
      <w:r>
        <w:t>ON THE WRITINGS OF TATIAN</w:t>
      </w:r>
    </w:p>
    <w:p w14:paraId="4B3C6694" w14:textId="77777777" w:rsidR="005C2B3E" w:rsidRDefault="00000000">
      <w:pPr>
        <w:spacing w:before="180" w:after="0"/>
        <w:ind w:left="720" w:right="320" w:hanging="360"/>
      </w:pPr>
      <w:r>
        <w:t>On the lost works of Tatian</w:t>
      </w:r>
      <w:r>
        <w:fldChar w:fldCharType="begin"/>
      </w:r>
      <w:r>
        <w:instrText xml:space="preserve"> XE "Tatian" \f "Persons"</w:instrText>
      </w:r>
      <w:r>
        <w:fldChar w:fldCharType="end"/>
      </w:r>
      <w:r>
        <w:t>. II. A speech against the Greeks, not delivered but written, and that after he left Rome. III. It is proven that it was written before heresy, against the most learned abbot of Longuerue. IV. On the boldness of Tatian in corrupting the Scriptures. V. His Gospel Διατισσάρων does not exist. VI. It seems to be the same as the Gospel which Saint Epiphanius</w:t>
      </w:r>
      <w:r>
        <w:fldChar w:fldCharType="begin"/>
      </w:r>
      <w:r>
        <w:instrText xml:space="preserve"> XE "Saint Epiphanius" \f "Persons"</w:instrText>
      </w:r>
      <w:r>
        <w:fldChar w:fldCharType="end"/>
      </w:r>
      <w:r>
        <w:t xml:space="preserve"> attributed to the Ebionites. VII. It is also the same as that which was called according to Peter</w:t>
      </w:r>
      <w:r>
        <w:fldChar w:fldCharType="begin"/>
      </w:r>
      <w:r>
        <w:instrText xml:space="preserve"> XE "Peter" \f "Persons"</w:instrText>
      </w:r>
      <w:r>
        <w:fldChar w:fldCharType="end"/>
      </w:r>
      <w:r>
        <w:t>.</w:t>
      </w:r>
    </w:p>
    <w:p w14:paraId="673810F5" w14:textId="77777777" w:rsidR="005C2B3E" w:rsidRDefault="00000000">
      <w:r>
        <w:t>I. From the very large number of books which Eusebius</w:t>
      </w:r>
      <w:r>
        <w:fldChar w:fldCharType="begin"/>
      </w:r>
      <w:r>
        <w:instrText xml:space="preserve"> XE "Eusebius" \f "Persons"</w:instrText>
      </w:r>
      <w:r>
        <w:fldChar w:fldCharType="end"/>
      </w:r>
      <w:r>
        <w:t xml:space="preserve"> and Jerome</w:t>
      </w:r>
      <w:r>
        <w:fldChar w:fldCharType="begin"/>
      </w:r>
      <w:r>
        <w:instrText xml:space="preserve"> XE "Jerome" \f "Persons"</w:instrText>
      </w:r>
      <w:r>
        <w:fldChar w:fldCharType="end"/>
      </w:r>
      <w:r>
        <w:t xml:space="preserve"> testify were left by Tatian</w:t>
      </w:r>
      <w:r>
        <w:fldChar w:fldCharType="begin"/>
      </w:r>
      <w:r>
        <w:instrText xml:space="preserve"> XE "Tatian" \f "Persons"</w:instrText>
      </w:r>
      <w:r>
        <w:fldChar w:fldCharType="end"/>
      </w:r>
      <w:r>
        <w:t>, few have come to our knowledge, and only one has reached our hands. He wrote, according to Clement of Alexandria</w:t>
      </w:r>
      <w:r>
        <w:fldChar w:fldCharType="begin"/>
      </w:r>
      <w:r>
        <w:instrText xml:space="preserve"> XE "Clement of Alexandria" \f "Persons"</w:instrText>
      </w:r>
      <w:r>
        <w:fldChar w:fldCharType="end"/>
      </w:r>
      <w:r>
        <w:t xml:space="preserve">, </w:t>
      </w:r>
      <w:r>
        <w:rPr>
          <w:i/>
        </w:rPr>
        <w:t>Strom.</w:t>
      </w:r>
      <w:r>
        <w:t xml:space="preserve">, iii, page 460, a book </w:t>
      </w:r>
      <w:r>
        <w:rPr>
          <w:i/>
        </w:rPr>
        <w:t>On Perfection According to the Savior</w:t>
      </w:r>
      <w:r>
        <w:t xml:space="preserve">. In the </w:t>
      </w:r>
      <w:r>
        <w:rPr>
          <w:i/>
        </w:rPr>
        <w:t>Oration against the Greeks</w:t>
      </w:r>
      <w:r>
        <w:t xml:space="preserve">, number 15, he cites a book he wrote </w:t>
      </w:r>
      <w:r>
        <w:rPr>
          <w:i/>
        </w:rPr>
        <w:t>On Animals</w:t>
      </w:r>
      <w:r>
        <w:t xml:space="preserve">. Perhaps in this book he dealt with what he says elsewhere he </w:t>
      </w:r>
      <w:r>
        <w:lastRenderedPageBreak/>
        <w:t xml:space="preserve">demonstrated: certain marvelous effects must be poured not into the souls of dead men, but into demons. In the same </w:t>
      </w:r>
      <w:r>
        <w:rPr>
          <w:i/>
        </w:rPr>
        <w:t>Oration</w:t>
      </w:r>
      <w:r>
        <w:t xml:space="preserve"> he promises a book against pagan writers who rashly judged the institution and sacred histories of Christians and Jews. Thus he speaks, number 40: Περὶ μὲν οὖν τῆς καθʼ ἡμᾶς πολιτείας, ἱστορίας τε τῆς κατὰ τοὺς ἡμετέρους νόμους, ὅσα τε εἰρήκασιν οἱ παρὰ τοῖς Ἕλλησιν λόγιοι, καὶ πόσοι καὶ τίνες εἰσὶ μνημονεύσαντες, ἐν τῷ πρὸς τοὺς ἀποφηναμένους τὰ περὶ Θεοῦ δειχθήσεται. “But concerning our institution, and the history of our laws according to our customs, and what the scholars among the Greeks have said, and how many and which ones have mentioned these things, it will be shown in the book against those (that is, the Greeks) who have spoken about divine matters.” I will not hide the excellent meaning added by the author of the much-praised dissertation to the words πρὸς τοὺς ἀποφηναμένους. For he translates it as </w:t>
      </w:r>
      <w:r>
        <w:rPr>
          <w:i/>
        </w:rPr>
        <w:t>against those who deny faith in divine matters</w:t>
      </w:r>
      <w:r>
        <w:t xml:space="preserve">. This is also how Tillemont understood it. But the word ἀποφηναμένους does not seem to allow this interpretation. I have tried to explain in a note on this passage whom Tatian intended to refute in this work. Gesner absurdly thinks Tatian planned to refute those </w:t>
      </w:r>
      <w:r>
        <w:rPr>
          <w:i/>
        </w:rPr>
        <w:t>who argue about God and divine matters by proofs</w:t>
      </w:r>
      <w:r>
        <w:t xml:space="preserve">, that is, Catholics, who defended and confirmed the faith, which Apelles, according to Eusebius, </w:t>
      </w:r>
      <w:r>
        <w:rPr>
          <w:i/>
        </w:rPr>
        <w:t>Hist</w:t>
      </w:r>
      <w:r>
        <w:t>, v, 13, denies must be examined.</w:t>
      </w:r>
    </w:p>
    <w:p w14:paraId="6CEF74FF" w14:textId="77777777" w:rsidR="005C2B3E" w:rsidRDefault="00000000">
      <w:pPr>
        <w:ind w:firstLine="360"/>
      </w:pPr>
      <w:r>
        <w:t>Rhodon</w:t>
      </w:r>
      <w:r>
        <w:fldChar w:fldCharType="begin"/>
      </w:r>
      <w:r>
        <w:instrText xml:space="preserve"> XE "Rhodon" \f "Persons"</w:instrText>
      </w:r>
      <w:r>
        <w:fldChar w:fldCharType="end"/>
      </w:r>
      <w:r>
        <w:t>, a notable church writer who had been taught by Tatian</w:t>
      </w:r>
      <w:r>
        <w:fldChar w:fldCharType="begin"/>
      </w:r>
      <w:r>
        <w:instrText xml:space="preserve"> XE "Tatian" \f "Persons"</w:instrText>
      </w:r>
      <w:r>
        <w:fldChar w:fldCharType="end"/>
      </w:r>
      <w:r>
        <w:t xml:space="preserve"> in Rome, reported, with Eusebius</w:t>
      </w:r>
      <w:r>
        <w:fldChar w:fldCharType="begin"/>
      </w:r>
      <w:r>
        <w:instrText xml:space="preserve"> XE "Eusebius" \f "Persons"</w:instrText>
      </w:r>
      <w:r>
        <w:fldChar w:fldCharType="end"/>
      </w:r>
      <w:r>
        <w:t xml:space="preserve"> as witness, that Tatian had composed a book of </w:t>
      </w:r>
      <w:r>
        <w:rPr>
          <w:i/>
        </w:rPr>
        <w:t>Problems</w:t>
      </w:r>
      <w:r>
        <w:t xml:space="preserve">, or </w:t>
      </w:r>
      <w:r>
        <w:rPr>
          <w:i/>
        </w:rPr>
        <w:t>Questions on Sacred Scripture</w:t>
      </w:r>
      <w:r>
        <w:t>. Φησὶ δὲ, says Eusebius, καὶ ἐσπουδάσθαι τῷ Τατιανῷ προβλημάτων βιβλίον, διʼ ὧν τὸ ἀσαφὲς καὶ ἐπικεκρυμμένον τῶν θειῶν Γραφῶν παραστήσειν ὑποσχομένου τοῦ Τατιανοῦ, αὐτὸς ὁ Ῥόδων ἐν ἰδίῳ συγγράμματι τὰς τῶν ἐκείνου προβλημάτων ἐπιλύσεις ἐκθήσεσθαι ἐπαγγέλλεται. “He also reports that Tatian studied a book of problems, by which Tatian promised to explain the unclear and hidden parts of the divine Scriptures, and Rhodon himself promises in his own writing to set forth the solutions to those problems of Tatian.” It seems that Tatian wrote this as a heretic and was therefore refuted by Rhodon; because he called the Scriptures unclear and hidden, to defend his own freedom in twisting and corrupting them.</w:t>
      </w:r>
    </w:p>
    <w:p w14:paraId="39684D5A" w14:textId="77777777" w:rsidR="005C2B3E" w:rsidRDefault="00000000">
      <w:pPr>
        <w:ind w:firstLine="360"/>
      </w:pPr>
      <w:r>
        <w:t>II. Of all Tatian</w:t>
      </w:r>
      <w:r>
        <w:fldChar w:fldCharType="begin"/>
      </w:r>
      <w:r>
        <w:instrText xml:space="preserve"> XE "Tatian" \f "Persons"</w:instrText>
      </w:r>
      <w:r>
        <w:fldChar w:fldCharType="end"/>
      </w:r>
      <w:r>
        <w:t>’s works, according to the judgment of Eusebius</w:t>
      </w:r>
      <w:r>
        <w:fldChar w:fldCharType="begin"/>
      </w:r>
      <w:r>
        <w:instrText xml:space="preserve"> XE "Eusebius" \f "Persons"</w:instrText>
      </w:r>
      <w:r>
        <w:fldChar w:fldCharType="end"/>
      </w:r>
      <w:r>
        <w:t xml:space="preserve"> and Jerome</w:t>
      </w:r>
      <w:r>
        <w:fldChar w:fldCharType="begin"/>
      </w:r>
      <w:r>
        <w:instrText xml:space="preserve"> XE "Jerome" \f "Persons"</w:instrText>
      </w:r>
      <w:r>
        <w:fldChar w:fldCharType="end"/>
      </w:r>
      <w:r>
        <w:t xml:space="preserve">, the most famous and flourishing was the </w:t>
      </w:r>
      <w:r>
        <w:rPr>
          <w:i/>
        </w:rPr>
        <w:t>Oration against the Greeks</w:t>
      </w:r>
      <w:r>
        <w:t xml:space="preserve">. Tillemont guesses that this oration was delivered before the pagans; and he suspects this is the reason why it does not seem fully polished or arranged with art and order. In fact, sometimes it seems to address listeners directly; as when he says: “I speak and you listen,” number 5, and “Hear me as if I were shouting from a high place,” number 17. But everyone knows it is common for writers to address the reader in this way, as if using real voices. Tatian himself assigns to himself not the role of an orator but of a writer. For he says, number 35: “How our philosophy is older than your disciplines, since I began to write, </w:t>
      </w:r>
      <w:r>
        <w:lastRenderedPageBreak/>
        <w:t>but delayed because of urgent debate, now, since the time has come, I will begin to speak about its decrees.” And concluding: “These things I, Tatian, addicted to barbarian philosophy, have composed for you, O Greeks.”</w:t>
      </w:r>
    </w:p>
    <w:p w14:paraId="716C5321" w14:textId="77777777" w:rsidR="005C2B3E" w:rsidRDefault="00000000">
      <w:pPr>
        <w:ind w:firstLine="360"/>
      </w:pPr>
      <w:r>
        <w:t>The same most excellent Tillemont rightly observes that this oration was written by Justin</w:t>
      </w:r>
      <w:r>
        <w:fldChar w:fldCharType="begin"/>
      </w:r>
      <w:r>
        <w:instrText xml:space="preserve"> XE "Justin" \f "Persons"</w:instrText>
      </w:r>
      <w:r>
        <w:fldChar w:fldCharType="end"/>
      </w:r>
      <w:r>
        <w:t xml:space="preserve"> after the death of Crescens; but his opinion that it was delivered in Rome cannot be reconciled with Tatian</w:t>
      </w:r>
      <w:r>
        <w:fldChar w:fldCharType="begin"/>
      </w:r>
      <w:r>
        <w:instrText xml:space="preserve"> XE "Tatian" \f "Persons"</w:instrText>
      </w:r>
      <w:r>
        <w:fldChar w:fldCharType="end"/>
      </w:r>
      <w:r>
        <w:t xml:space="preserve">’s own words. For Tatian, mocking statues among the Greeks as partly set up for prostitutes and impure men, partly erected to remember absurd things, thus confirms the truth of his judgment: Ταῦτα μὲν οὖν οὐ παρʼ ἅλλου μαθὼν ἐξεθέμην, πολλὴν ἐπιφοιτήσας γῆν, καὶ τοῦτο μὲν σοφιστεύσας τὰ ὑμέτερα, τοῦτο δὲ τέχναις καὶ ἐπινοίαις ἐγκυρήσας πολλαῖς, ἔσχατον δὲ τῇ Ῥωμαίων ἐνδιατρίψας πόλει, καὶ τὰς ἀφʼ ὑμῶν ὡς αὐτοὺς ἀνακομισθείσας ἀνδριάντων ποικιλίας καταμαθών. Οὐ γὰρ ὡς ἔθος ἐστὶ τοῖς πολλοῖς, ἀλλοτρίαις δόξαις τὰμαυτοῦ κρατύνειν πειρῶμαι· πάντων δὲ ὧν ἀποποιήσομαι αὐτὸς τὴν κατάληψιν, τούτων καὶ τὴν ἀναγραφὴν συντάσσειν βούλομαι. “These things, then, I have not learned from another but have set forth myself, having traveled much over the land, and partly having studied your disciplines as a sophist, partly having gained skill and many inventions, and lastly having stayed in the city of the Romans, and having examined the varieties of statues brought from you as if by yourselves. For it is not my habit, like many, to strengthen my own views by foreign opinions; but of all things I will deny my own acceptance, and I want to compose a record of these.” This account of what Tatian saw in Rome is that of a man not living in Rome. What we reported above about Crescens: </w:t>
      </w:r>
      <w:r>
        <w:rPr>
          <w:i/>
        </w:rPr>
        <w:t>Therefore that Crescens, who had made his home in the great city, surpassed all in love of boys</w:t>
      </w:r>
      <w:r>
        <w:t>, etc, similarly proves that Tatian was then away from Crescens, or at least, if he was dead, that Tatian was absent from Rome.</w:t>
      </w:r>
    </w:p>
    <w:p w14:paraId="63BE063B" w14:textId="77777777" w:rsidR="005C2B3E" w:rsidRDefault="00000000">
      <w:pPr>
        <w:ind w:firstLine="360"/>
      </w:pPr>
      <w:r>
        <w:t>The work is thought to have been composed in some city of Greece, according to the author of the Oxford dissertation added to the edition. I believe the reason the very learned man thought this was because Tatian</w:t>
      </w:r>
      <w:r>
        <w:fldChar w:fldCharType="begin"/>
      </w:r>
      <w:r>
        <w:instrText xml:space="preserve"> XE "Tatian" \f "Persons"</w:instrText>
      </w:r>
      <w:r>
        <w:fldChar w:fldCharType="end"/>
      </w:r>
      <w:r>
        <w:t xml:space="preserve"> addresses the Greeks in this oration. But could he not also have addressed those Greeks who were in the East? Therefore, nothing certain seems able to be established about this matter.</w:t>
      </w:r>
    </w:p>
    <w:p w14:paraId="0C01FF58" w14:textId="77777777" w:rsidR="005C2B3E" w:rsidRDefault="00000000">
      <w:pPr>
        <w:ind w:firstLine="360"/>
      </w:pPr>
      <w:r>
        <w:t>III. But there is another point on which the author of the same dissertation seems to stray further from the truth. He admits that Tatian</w:t>
      </w:r>
      <w:r>
        <w:fldChar w:fldCharType="begin"/>
      </w:r>
      <w:r>
        <w:instrText xml:space="preserve"> XE "Tatian" \f "Persons"</w:instrText>
      </w:r>
      <w:r>
        <w:fldChar w:fldCharType="end"/>
      </w:r>
      <w:r>
        <w:t xml:space="preserve"> skillfully blunts the sharp edge of his opponents in this little work. </w:t>
      </w:r>
      <w:r>
        <w:rPr>
          <w:i/>
        </w:rPr>
        <w:t>But there I found the pure juice and rust of black lollypops</w:t>
      </w:r>
      <w:r>
        <w:t xml:space="preserve"> he declares. “For the errors,” he says, “which Tatian had long ago implanted in his mind, drawn from the Gnostic store, and had concealed before Justin’s death out of respect for his teacher, he did not hesitate to openly defend.” And below: “In this little work, since he teaches very absurd errors openly, we do not doubt that he was very far from the form of Christian truth and the evangelical rule of that time. And first of all, he presents a man composed of three natures: ἐκ τῆς ὕλης, ‘from matter;’ ἐκ </w:t>
      </w:r>
      <w:r>
        <w:lastRenderedPageBreak/>
        <w:t xml:space="preserve">τῆς ψυχῆς, ‘from soul, which has its origin from matter;’ and ἐκ τοῦ πνεύματος, ‘from spirit, which takes its beginning from God or from the heavens.’ The learned writer also dislikes that distinction in Tatian of two spirits, </w:t>
      </w:r>
      <w:r>
        <w:rPr>
          <w:i/>
        </w:rPr>
        <w:t>one of which is called soul,</w:t>
      </w:r>
      <w:r>
        <w:t xml:space="preserve"> but the other, more excellent, </w:t>
      </w:r>
      <w:r>
        <w:rPr>
          <w:i/>
        </w:rPr>
        <w:t>is the soul, namely the image and likeness of God.</w:t>
      </w:r>
      <w:r>
        <w:t xml:space="preserve"> He thinks he clearly sees in these words the distinction of τοῦ ὁλικοῦ and τοῦ πνευματικοῦ, </w:t>
      </w:r>
      <w:r>
        <w:rPr>
          <w:i/>
        </w:rPr>
        <w:t>which Tatian borrowed from the Gnostics and especially from Valentinus</w:t>
      </w:r>
      <w:r>
        <w:fldChar w:fldCharType="begin"/>
      </w:r>
      <w:r>
        <w:instrText xml:space="preserve"> XE "Valentinus" \f "Persons"</w:instrText>
      </w:r>
      <w:r>
        <w:fldChar w:fldCharType="end"/>
      </w:r>
      <w:r>
        <w:rPr>
          <w:i/>
        </w:rPr>
        <w:t>.</w:t>
      </w:r>
      <w:r>
        <w:t xml:space="preserve"> He attributes other errors to Tatian, namely against the immortality and simplicity of the soul, and the eternity of the Word; and so that no one might think to defend Tatian’s cause, he concludes thus: “It is no wonder if he thought badly and wickedly about the loftier mysteries of the Christian religion, he who had already conspired with the Gnostics, impious and wicked men, and utterly alien to the true religion in God. Certainly he will wash the brick if anyone wishes to free such triflers from blame; and no one can clear Tatian individually who had drunk in the insane opinions of Valentinus about the Aeons.”</w:t>
      </w:r>
    </w:p>
    <w:p w14:paraId="43AD9AC0" w14:textId="77777777" w:rsidR="005C2B3E" w:rsidRDefault="00000000">
      <w:pPr>
        <w:ind w:firstLine="360"/>
      </w:pPr>
      <w:r>
        <w:t>I think Tatian</w:t>
      </w:r>
      <w:r>
        <w:fldChar w:fldCharType="begin"/>
      </w:r>
      <w:r>
        <w:instrText xml:space="preserve"> XE "Tatian" \f "Persons"</w:instrText>
      </w:r>
      <w:r>
        <w:fldChar w:fldCharType="end"/>
      </w:r>
      <w:r>
        <w:t>’s opinion about the immortality of the soul and its nature, and about the eternity of the Word, is explained well enough in the second part of the preface and in the notes. Nor should we delay in refuting what the very learned man says, that Tatian, even under Justin’s teaching, had planned a wicked heresy: for this is not to be refuted by arguments, since it is offered without any argument at all. As for Tatian’s little work itself, I find many things that conflict with the Valentinian heresy, but not a single trace of this error, not even in those things objected by the author of the dissertation.</w:t>
      </w:r>
    </w:p>
    <w:p w14:paraId="76169209" w14:textId="77777777" w:rsidR="005C2B3E" w:rsidRDefault="00000000">
      <w:pPr>
        <w:ind w:firstLine="360"/>
      </w:pPr>
      <w:r>
        <w:t>The source and origin of Tatian</w:t>
      </w:r>
      <w:r>
        <w:fldChar w:fldCharType="begin"/>
      </w:r>
      <w:r>
        <w:instrText xml:space="preserve"> XE "Tatian" \f "Persons"</w:instrText>
      </w:r>
      <w:r>
        <w:fldChar w:fldCharType="end"/>
      </w:r>
      <w:r>
        <w:t xml:space="preserve">’s errors, as we have seen above, was a wrong opinion about the creation of the world. From this flowed the Aeons, from this the Demiurge who does not make light but wishes and prays that it be made; from this also the most foolish ideas about Christ’s flesh, about the resurrection, and about free will. But in the </w:t>
      </w:r>
      <w:r>
        <w:rPr>
          <w:i/>
        </w:rPr>
        <w:t>Oration against the Greeks</w:t>
      </w:r>
      <w:r>
        <w:t xml:space="preserve"> he defends the creation of matter with care. He argues that matter would be equal to God if it were uncreated. Οὕτε γὰρ ἄναρχος ἡ ὕλη καθάπερ ὁ Θεὸς, οὐδὲ διὰ τὸ ἄναρχον ἱσοδύναμος τῷ Θεῷ· γεννητὴ δὲ καὶ οὐχ ὑπὸ τοῦ ἄλλου γεγονυῖα, μόνου δὲ ὑπὸ τοῦ πάντων δημιούργου προβεβλημένη. “For matter does not lack a beginning, as God does; nor does it have power equal to God, who is without beginning; rather it is created, and not made by another, but produced by the sole creator of all.” These words strike at the Valentinians and their dreams about the eternity of matter and the true God above the creator. Just as the Valentinians held that matter was uncreated, and that God was different from the creator, so that they did not believe the human body to be truly cared for by the true and exalted God, nor that it could be restored by the creator; so Tatian, from the fact that matter is created and created by the sole creator of all, builds the resurrection of the bodies. For he adds immediately: Καὶ διὰ τοῦτο καὶ σωμάτων ἀνάστασιν ἔσεσθαι </w:t>
      </w:r>
      <w:r>
        <w:lastRenderedPageBreak/>
        <w:t xml:space="preserve">πεπιστεύκαμεν. “For this reason we have believed in the future resurrection of bodies.” The Valentinians judged the human flesh, as made by a lower god from uncreated matter, unworthy for the Son of God to take on. They attributed to him a living body not taken from Mary, but passed through Mary, as through some channel. But it is not shameful to Tatian that God was born in the form of a man. </w:t>
      </w:r>
      <w:r w:rsidRPr="00AE0150">
        <w:rPr>
          <w:lang w:val="el-GR"/>
        </w:rPr>
        <w:t xml:space="preserve">Οὐ γὰρ μωραίνομεν, ἄνδρες Ἕλληνες, οὐδὲ λήρους ἀπαγγέλλομεν, Θεὸν ἐν ἀνθρώπου μορφῇ γεγονέναι καταγγέλλοντες. </w:t>
      </w:r>
      <w:r>
        <w:t>“For we do not act foolishly, men of Greece, nor do we speak nonsense, announcing that God has become in the form of a man.”</w:t>
      </w:r>
    </w:p>
    <w:p w14:paraId="5AED5EC0" w14:textId="77777777" w:rsidR="005C2B3E" w:rsidRDefault="00000000">
      <w:pPr>
        <w:ind w:firstLine="360"/>
      </w:pPr>
      <w:r>
        <w:t xml:space="preserve">Especially in the complete corruption of morals, the Valentinians had destroyed human freedom, since they said </w:t>
      </w:r>
      <w:r>
        <w:rPr>
          <w:i/>
        </w:rPr>
        <w:t>that they themselves are saved not by their actions, but because they are naturally spiritual,</w:t>
      </w:r>
      <w:r>
        <w:t xml:space="preserve"> Irenaeus, book 1, chapter 6. But Tatian</w:t>
      </w:r>
      <w:r>
        <w:fldChar w:fldCharType="begin"/>
      </w:r>
      <w:r>
        <w:instrText xml:space="preserve"> XE "Tatian" \f "Persons"</w:instrText>
      </w:r>
      <w:r>
        <w:fldChar w:fldCharType="end"/>
      </w:r>
      <w:r>
        <w:t xml:space="preserve"> declares that there is no evil in created things by nature. Ἑπεὶ αὐτὸς μὲν πᾶν τὸ εὖ πως ἔχον ἐδημιούργησεν· ἡ δὲ τῶν δαιμόνων ἀσωτία, τοῖς ἐν τῷ κόσμῳ πρὸς τὸ κακοποιεῖν ἐχρήσατο. “God,” he says, “created all things that are somewhat good; but the recklessness of the demons abused those things in the world for doing evil.” Following the footsteps of the teacher Justin</w:t>
      </w:r>
      <w:r>
        <w:fldChar w:fldCharType="begin"/>
      </w:r>
      <w:r>
        <w:instrText xml:space="preserve"> XE "Justin" \f "Persons"</w:instrText>
      </w:r>
      <w:r>
        <w:fldChar w:fldCharType="end"/>
      </w:r>
      <w:r>
        <w:t xml:space="preserve">, he teaches that men and angels were created free by God. Ὅπως ὁ μὲν φαῦλος δικαίως κολάζηται διʼ αὑτὸν γεγονὼς μοχθηρός· ὁ δὲ δίκαιος χάριν τῶν ἀνδραγαθημάτων ἀξίως ἐπαινῆται. “So that the wicked is rightly punished because he became wicked by himself; but the just is rightly praised because of his good deeds.” These things said, </w:t>
      </w:r>
      <w:r>
        <w:rPr>
          <w:i/>
        </w:rPr>
        <w:t>he teaches that they happen by the free will of those who choose;</w:t>
      </w:r>
      <w:r>
        <w:t xml:space="preserve"> nor does he seek the origin of evil anywhere else than in free choice. Οὐκ ἐγενόμεθα πρὸς τὸ ἀποθνήσκειν, ἀποθνήσκομεν δὲ διʼ ἑαυτούς. Ἀπώλεσεν ἡμᾶς τὸ αὐτεξούσιον· δοῦλοι γεγόναμεν οἱ ἐλεύθεροι, διὰ τὴν ἁμαρτίαν ἑπράθημεν. Οὐδὲν φαῦλον ὑπὸ τοῦ Θεοῦ πεποίηται, τὴν πονηρίαν ἡμεῖς ἀνεδείξαμεν. Οἱ δὲ ἁναδείξαντες, δυνατοὶ πάλιν παραιτήσασθαι. “We were not made to die; we die because of ourselves. Free will lost us; we who were free became slaves; through sin we were sold. Nothing evil was made by God; we ourselves showed wickedness. But those who showed it can again reject it.” Just as all men were corrupted by Adam’s sin, so also, as we saw in the second part, the help of the Holy Spirit is necessary for all, so that the image of God may be restored in them, and no one would believe that anyone is created spiritual by nature.</w:t>
      </w:r>
    </w:p>
    <w:p w14:paraId="5F58D2C6" w14:textId="77777777" w:rsidR="005C2B3E" w:rsidRDefault="00000000">
      <w:pPr>
        <w:ind w:firstLine="360"/>
      </w:pPr>
      <w:r>
        <w:t>Tatian</w:t>
      </w:r>
      <w:r>
        <w:fldChar w:fldCharType="begin"/>
      </w:r>
      <w:r>
        <w:instrText xml:space="preserve"> XE "Tatian" \f "Persons"</w:instrText>
      </w:r>
      <w:r>
        <w:fldChar w:fldCharType="end"/>
      </w:r>
      <w:r>
        <w:t xml:space="preserve"> rightly mocks marriages among the gods, n. 8, but nowhere does he blame those rightly contracted among humans. He praises Christian virgins, </w:t>
      </w:r>
      <w:r>
        <w:rPr>
          <w:i/>
        </w:rPr>
        <w:t>who recited divine oracles around the hills,</w:t>
      </w:r>
      <w:r>
        <w:t xml:space="preserve"> not to prescribe this practice to all as a law, but to repel the slanders of the pagans, who claimed that Christians </w:t>
      </w:r>
      <w:r>
        <w:rPr>
          <w:i/>
        </w:rPr>
        <w:t>fool around among women and young men, among virgins and old women.</w:t>
      </w:r>
      <w:r>
        <w:t xml:space="preserve"> Thus he also repels the accusations against Christians, objecting to the unjust condemnation by pagans solely because of the name, as a defender of the catholic Church, especially exposed to the attacks of persecutors, and not yet involved among heretics, whom persecution either did not </w:t>
      </w:r>
      <w:r>
        <w:lastRenderedPageBreak/>
        <w:t>usually touch or was evaded by denial. He describes the morals of the catholic Church when he says, n. 32: Φιλοσοφοῦσί τε οὐ μόνον οἱ πλουτοῦντες, ἀλλὰ καὶ οἱ πένητες προῖκα τῆς διδασκαλίας ἀπολαύουσι.… Τοὺς δὲ ἀκροᾶσθαι βουλομένους πάντας οὕτως προσιέμεθα, κἂν πρεσβύτιδες ὦσι, κἂν μειράκια· πᾶσά τε ἀπαξαπλῶς ἡλικία παρʼ ἡμῖν τυγχάνει τιμῆς. Τὰ δὲ τῆς ἀσελγείας πόῤῥω κεχώρισται. “Not only the rich philosophize, but also the poor enjoy the teaching freely.… And we admit all who want to listen in this way, even if they are old women, even if they are young men; and every age has its own honor with us. But far removed is licentiousness.” Tatian still cherished in his mind, when he wrote these things, not only the teachings of Justin, whom he calls a man to be admired above all, but also those noble movements of piety which he once experienced, when he marveled in the sacred books at the doctrine opposed to heretics, *an explanation of the whole creation easy to grasp, and a unique rule of all things.*</w:t>
      </w:r>
    </w:p>
    <w:p w14:paraId="6D9AECC3" w14:textId="77777777" w:rsidR="005C2B3E" w:rsidRDefault="00000000">
      <w:pPr>
        <w:ind w:firstLine="360"/>
      </w:pPr>
      <w:r>
        <w:t>The same very learned man unjustly criticizes what is said by Tatian</w:t>
      </w:r>
      <w:r>
        <w:fldChar w:fldCharType="begin"/>
      </w:r>
      <w:r>
        <w:instrText xml:space="preserve"> XE "Tatian" \f "Persons"</w:instrText>
      </w:r>
      <w:r>
        <w:fldChar w:fldCharType="end"/>
      </w:r>
      <w:r>
        <w:t xml:space="preserve"> about the body, soul, and spirit, and the distinction of two spirits. Even if Tatian composed man of body, soul, and spirit, he should hardly be blamed for this, since the soul is often called spirit, and the gift of the Holy Spirit is often called the spirit of man. But Tatian distinguishes the soul from the Holy Spirit, as the temple from the God dwelling in it, n. 15. The Valentinians were very seriously mistaken in this, because they said that the seed of their soul was injected by Wisdom, by whose benefit they trusted that eternal salvation could not be taken from them even by the greatest and most lasting sins. Nothing like this can be objected to Tatian. Indeed, he is to be praised for distinguishing the Holy Spirit, whom he calls the perfect God, from the spirit pervading matter. A similar distinction is found in Theophilus</w:t>
      </w:r>
      <w:r>
        <w:fldChar w:fldCharType="begin"/>
      </w:r>
      <w:r>
        <w:instrText xml:space="preserve"> XE "Theophilus" \f "Persons"</w:instrText>
      </w:r>
      <w:r>
        <w:fldChar w:fldCharType="end"/>
      </w:r>
      <w:r>
        <w:t>, book 1, n. 5 and 7.</w:t>
      </w:r>
    </w:p>
    <w:p w14:paraId="6B79F830" w14:textId="77777777" w:rsidR="005C2B3E" w:rsidRDefault="00000000">
      <w:pPr>
        <w:ind w:firstLine="360"/>
      </w:pPr>
      <w:r>
        <w:t>IV. Tatian</w:t>
      </w:r>
      <w:r>
        <w:fldChar w:fldCharType="begin"/>
      </w:r>
      <w:r>
        <w:instrText xml:space="preserve"> XE "Tatian" \f "Persons"</w:instrText>
      </w:r>
      <w:r>
        <w:fldChar w:fldCharType="end"/>
      </w:r>
      <w:r>
        <w:t xml:space="preserve"> defends the most wicked errors by following the widespread heretical path, and he did not consider anything forbidden in violating the Scriptures. Indeed, he accepted most of the Scriptures, although he interpreted them wrongly. For, as we saw above, he mocked the Genesis phrase </w:t>
      </w:r>
      <w:r>
        <w:rPr>
          <w:i/>
        </w:rPr>
        <w:t>Let there be light</w:t>
      </w:r>
      <w:r>
        <w:t xml:space="preserve"> as if it were a request, not a command; he argued from a certain testimony of Amos that wine was forbidden, and from another of Paul</w:t>
      </w:r>
      <w:r>
        <w:fldChar w:fldCharType="begin"/>
      </w:r>
      <w:r>
        <w:instrText xml:space="preserve"> XE "Paul" \f "Persons"</w:instrText>
      </w:r>
      <w:r>
        <w:fldChar w:fldCharType="end"/>
      </w:r>
      <w:r>
        <w:t xml:space="preserve"> that marriage was forbidden. “He also tried, as Irenaeus testifies, to make constant use of such words from Paul: </w:t>
      </w:r>
      <w:r>
        <w:rPr>
          <w:i/>
        </w:rPr>
        <w:t>For in Adam all die.</w:t>
      </w:r>
      <w:r>
        <w:t>” He made many parts of the Epistle to Titus; but although he considered many of Paul’s writings suitable for his own purposes, he rejected some of those epistles, having lost hope of avoiding ridicule and quibbling. We learn this from Jerome</w:t>
      </w:r>
      <w:r>
        <w:fldChar w:fldCharType="begin"/>
      </w:r>
      <w:r>
        <w:instrText xml:space="preserve"> XE "Jerome" \f "Persons"</w:instrText>
      </w:r>
      <w:r>
        <w:fldChar w:fldCharType="end"/>
      </w:r>
      <w:r>
        <w:t>, who says in the prologue to his commentary on the Epistle to Titus: “But Tatian, the patriarch of the Encratites, who himself rejected some of Paul’s epistles, thought this one especially, that is, the one to Titus, to be the apostle’s pronouncement, disregarding the claim of Marcion</w:t>
      </w:r>
      <w:r>
        <w:fldChar w:fldCharType="begin"/>
      </w:r>
      <w:r>
        <w:instrText xml:space="preserve"> XE "Marcion" \f "Persons"</w:instrText>
      </w:r>
      <w:r>
        <w:fldChar w:fldCharType="end"/>
      </w:r>
      <w:r>
        <w:t xml:space="preserve"> and others who agree with him in this matter.” Eusebius</w:t>
      </w:r>
      <w:r>
        <w:fldChar w:fldCharType="begin"/>
      </w:r>
      <w:r>
        <w:instrText xml:space="preserve"> XE "Eusebius" \f "Persons"</w:instrText>
      </w:r>
      <w:r>
        <w:fldChar w:fldCharType="end"/>
      </w:r>
      <w:r>
        <w:t xml:space="preserve"> also says, book 4, chapter 29, </w:t>
      </w:r>
      <w:r>
        <w:lastRenderedPageBreak/>
        <w:t>that Tatian is said to have dared to express some of the Apostle’s words in other terms, as if correcting their composition.</w:t>
      </w:r>
    </w:p>
    <w:p w14:paraId="41333350" w14:textId="77777777" w:rsidR="005C2B3E" w:rsidRDefault="00000000">
      <w:pPr>
        <w:ind w:firstLine="360"/>
      </w:pPr>
      <w:r>
        <w:t>V. But Tatian</w:t>
      </w:r>
      <w:r>
        <w:fldChar w:fldCharType="begin"/>
      </w:r>
      <w:r>
        <w:instrText xml:space="preserve"> XE "Tatian" \f "Persons"</w:instrText>
      </w:r>
      <w:r>
        <w:fldChar w:fldCharType="end"/>
      </w:r>
      <w:r>
        <w:t xml:space="preserve">’s chief deed was in compiling one of the four Gospels, which is why he called it the Διατεσσάρων. Συνάφειάν τινα καὶ συναγωγὴν οὐκ οἷδʼ ὅπως τῶν Εὐαγγελίων συνθεὶς, τὸ </w:t>
      </w:r>
      <w:r>
        <w:rPr>
          <w:b/>
        </w:rPr>
        <w:t>Διατεσσάρων</w:t>
      </w:r>
      <w:r>
        <w:t xml:space="preserve"> τοῦτο προσωνόμασεν. Ὅ καὶ παρά τισιν εἰσέτι νῦν φέρεται. “He wove together a chain and collection of some kind of Gospels, which he named Διατεσσάρων: this work is still held by some,” says Eusebius</w:t>
      </w:r>
      <w:r>
        <w:fldChar w:fldCharType="begin"/>
      </w:r>
      <w:r>
        <w:instrText xml:space="preserve"> XE "Eusebius" \f "Persons"</w:instrText>
      </w:r>
      <w:r>
        <w:fldChar w:fldCharType="end"/>
      </w:r>
      <w:r>
        <w:t>. And Epiphanius</w:t>
      </w:r>
      <w:r>
        <w:fldChar w:fldCharType="begin"/>
      </w:r>
      <w:r>
        <w:instrText xml:space="preserve"> XE "Epiphanius" \f "Persons"</w:instrText>
      </w:r>
      <w:r>
        <w:fldChar w:fldCharType="end"/>
      </w:r>
      <w:r>
        <w:t xml:space="preserve">, heresies 46: Λέγεται δὲ τὸ </w:t>
      </w:r>
      <w:r>
        <w:rPr>
          <w:b/>
        </w:rPr>
        <w:t>Διατεσσάρων</w:t>
      </w:r>
      <w:r>
        <w:t xml:space="preserve"> Εὐαγγέλιον ὑπʼ αὐτοῦ γεγενῆσθαι, ὅπερ </w:t>
      </w:r>
      <w:r>
        <w:rPr>
          <w:b/>
        </w:rPr>
        <w:t>κατὰ Ἑβραίους</w:t>
      </w:r>
      <w:r>
        <w:t xml:space="preserve"> τινὲς καλοῦσι. “They say that work, which was woven from the four Gospels, and which some call </w:t>
      </w:r>
      <w:r>
        <w:rPr>
          <w:i/>
        </w:rPr>
        <w:t>according to the Hebrews</w:t>
      </w:r>
      <w:r>
        <w:t xml:space="preserve">, was written by him.” Theodoret tells more, from which the nature of this Gospel can be understood. Οὗτος καὶ τὸ </w:t>
      </w:r>
      <w:r>
        <w:rPr>
          <w:b/>
        </w:rPr>
        <w:t>Διατεσσάρων</w:t>
      </w:r>
      <w:r>
        <w:t xml:space="preserve"> καλούμενον συντέθεικεν Εὐαγγέλιον, τάς τε γενεαλογίας περικόψας, καὶ τὰ ἄλλα ὅσα ἐκ σπέρματος Δαβὶδ κατὰ σάρκα γεγενημένον τὸν Κύριον δείκνυσιν. Ἑχρήσαντο δὲ τούτῳ οὐ μόνοι οἱ τῆς ἐκείνου συμμορίας, ἀλλὰ καὶ οἱ τοῖς ἀποστολικοῖς ἑπόμενοι δόγμασι, τὴν τῆς συνθήκης πανουργίαν οὐκ ἐγνωκότες, ἀλλὰ ἀπλούστερον ὡς συντόμῳ τῷ βιβλίῳ χρησάμενοι. Εὗρον δὲ κἀγὼ πλείους ἢ διακοσίας βίβλους τοιαύτας ἐν ταῖς παρʼ ἡμῖν ἐκκλησίαις τετιμημένας, καὶ πάσας συναγαγὼν ἀπεθέμην, καὶ τὰ τῶν τεσσάρων εὐαγγελιστῶν ἀντεισήγαγον Εὐαγγέλια.</w:t>
      </w:r>
    </w:p>
    <w:p w14:paraId="644450DD" w14:textId="77777777" w:rsidR="005C2B3E" w:rsidRDefault="00000000">
      <w:pPr>
        <w:ind w:firstLine="360"/>
      </w:pPr>
      <w:r>
        <w:t>“This Gospel,” he says, “which is called the Diatessaron, he composed, cutting out the genealogies and all the other things that show the Lord born according to the flesh from the seed of David. And not only those of his own sect used it, but also those who followed apostolic doctrines, not knowing the trickery of the covenant, but using it more simply as a summary book. I myself found more than two hundred such books honored in the churches among us, and gathering them all together I set them aside, and introduced the Gospels of the four evangelists instead.”</w:t>
      </w:r>
    </w:p>
    <w:p w14:paraId="2BDF0F18" w14:textId="77777777" w:rsidR="005C2B3E" w:rsidRDefault="00000000">
      <w:pPr>
        <w:ind w:firstLine="360"/>
      </w:pPr>
      <w:r>
        <w:t xml:space="preserve">From this it is clear that the </w:t>
      </w:r>
      <w:r>
        <w:rPr>
          <w:i/>
        </w:rPr>
        <w:t>Gospel Harmony</w:t>
      </w:r>
      <w:r>
        <w:t>, which exists under the name of Tatian</w:t>
      </w:r>
      <w:r>
        <w:fldChar w:fldCharType="begin"/>
      </w:r>
      <w:r>
        <w:instrText xml:space="preserve"> XE "Tatian" \f "Persons"</w:instrText>
      </w:r>
      <w:r>
        <w:fldChar w:fldCharType="end"/>
      </w:r>
      <w:r>
        <w:t xml:space="preserve"> in the </w:t>
      </w:r>
      <w:r>
        <w:rPr>
          <w:i/>
        </w:rPr>
        <w:t>Bibliotheca Patrum</w:t>
      </w:r>
      <w:r>
        <w:t>, is not Tatian’s; for it contains genealogies removed by Tatian. Yet Victor of Capua</w:t>
      </w:r>
      <w:r>
        <w:fldChar w:fldCharType="begin"/>
      </w:r>
      <w:r>
        <w:instrText xml:space="preserve"> XE "Victor of Capua" \f "Persons"</w:instrText>
      </w:r>
      <w:r>
        <w:fldChar w:fldCharType="end"/>
      </w:r>
      <w:r>
        <w:t xml:space="preserve"> attributed this to Tatian in the sixth century. But now there is no disagreement among scholars about this matter. However, Baronius and Cave raised a dispute about another </w:t>
      </w:r>
      <w:r>
        <w:rPr>
          <w:i/>
        </w:rPr>
        <w:t>Harmony</w:t>
      </w:r>
      <w:r>
        <w:t xml:space="preserve"> attributed to Ammonius</w:t>
      </w:r>
      <w:r>
        <w:fldChar w:fldCharType="begin"/>
      </w:r>
      <w:r>
        <w:instrText xml:space="preserve"> XE "Ammonius" \f "Persons"</w:instrText>
      </w:r>
      <w:r>
        <w:fldChar w:fldCharType="end"/>
      </w:r>
      <w:r>
        <w:t xml:space="preserve"> in the same </w:t>
      </w:r>
      <w:r>
        <w:rPr>
          <w:i/>
        </w:rPr>
        <w:t>Patrum Bibliotheca</w:t>
      </w:r>
      <w:r>
        <w:t>, which they indeed claim is not Ammonius’s but Tatian’s. But that last work is the most recent product of a Latin writer, and it has no mark at all by which you can recognize it as Latin made from Greek. Moreover, it does not at all concern Tatian’s heresy, but rather praises the law of Moses, and does so with words not found in Scripture (for it does not use the very words of Scripture as is usual), so it cannot be attributed to Tatian.</w:t>
      </w:r>
    </w:p>
    <w:p w14:paraId="2752D945" w14:textId="77777777" w:rsidR="005C2B3E" w:rsidRDefault="00000000">
      <w:pPr>
        <w:ind w:firstLine="360"/>
      </w:pPr>
      <w:r>
        <w:lastRenderedPageBreak/>
        <w:t>VI. Since the fame of this Gospel has spread so widely, it is necessary for us to investigate more carefully what the ancients said about it. First of all, it must be noted that Epiphanius</w:t>
      </w:r>
      <w:r>
        <w:fldChar w:fldCharType="begin"/>
      </w:r>
      <w:r>
        <w:instrText xml:space="preserve"> XE "Epiphanius" \f "Persons"</w:instrText>
      </w:r>
      <w:r>
        <w:fldChar w:fldCharType="end"/>
      </w:r>
      <w:r>
        <w:t xml:space="preserve"> says this Gospel of Tatian</w:t>
      </w:r>
      <w:r>
        <w:fldChar w:fldCharType="begin"/>
      </w:r>
      <w:r>
        <w:instrText xml:space="preserve"> XE "Tatian" \f "Persons"</w:instrText>
      </w:r>
      <w:r>
        <w:fldChar w:fldCharType="end"/>
      </w:r>
      <w:r>
        <w:t xml:space="preserve"> is called </w:t>
      </w:r>
      <w:r>
        <w:rPr>
          <w:i/>
        </w:rPr>
        <w:t>according to the Hebrews</w:t>
      </w:r>
      <w:r>
        <w:t xml:space="preserve"> by some. It is hardly believable that those Hebrews, some of whom, namely the Nazarenes, combined observance of the law with the doctrine of the Catholic Church; and others, namely the Ebionites, said that Christ was a simple man born from a Virgin, or even from Joseph, used Tatian’s Gospel, which was made to introduce very different errors. And concerning the Nazarenes, there is no doubt that they did not adopt Tatian’s Gospel for their use, but rather that which Saint</w:t>
      </w:r>
      <w:r>
        <w:fldChar w:fldCharType="begin"/>
      </w:r>
      <w:r>
        <w:instrText xml:space="preserve"> XE "Saint" \f "Persons"</w:instrText>
      </w:r>
      <w:r>
        <w:fldChar w:fldCharType="end"/>
      </w:r>
      <w:r>
        <w:t xml:space="preserve"> Jerome</w:t>
      </w:r>
      <w:r>
        <w:fldChar w:fldCharType="begin"/>
      </w:r>
      <w:r>
        <w:instrText xml:space="preserve"> XE "Jerome" \f "Persons"</w:instrText>
      </w:r>
      <w:r>
        <w:fldChar w:fldCharType="end"/>
      </w:r>
      <w:r>
        <w:t xml:space="preserve"> explained in Greek and Latin letters. But as for the Ebionites, the Gospel which Epiphanius attributes to them in heresy 36, which is that of the Ebionites, seems to be exactly the same as Tatian’s Diatessaron.</w:t>
      </w:r>
    </w:p>
    <w:p w14:paraId="306605D5" w14:textId="77777777" w:rsidR="005C2B3E" w:rsidRDefault="00000000">
      <w:pPr>
        <w:ind w:firstLine="360"/>
      </w:pPr>
      <w:r>
        <w:t>1º In the Gospel which Epiphanius</w:t>
      </w:r>
      <w:r>
        <w:fldChar w:fldCharType="begin"/>
      </w:r>
      <w:r>
        <w:instrText xml:space="preserve"> XE "Epiphanius" \f "Persons"</w:instrText>
      </w:r>
      <w:r>
        <w:fldChar w:fldCharType="end"/>
      </w:r>
      <w:r>
        <w:t xml:space="preserve"> hands down as proper to the Ebionites, the genealogies were cut off. Ἐν τῷ γοῦν παρὰ αὐτοῖς εὐαγγελίῳ </w:t>
      </w:r>
      <w:r>
        <w:rPr>
          <w:b/>
        </w:rPr>
        <w:t>κατὰ Ματθαῖον</w:t>
      </w:r>
      <w:r>
        <w:t xml:space="preserve"> ὀνομαζομένῳ, σὐχ ὅλῳ δὲ πληρεστάτῳ, ἀλλὰ νενοθευμένῳ, καὶ ἠκρωτηριασμένῳ, Ἑβραικὸν δὲ τοῦτο καλοῦσιν, ἐμφέρεται, κ.τ.λ. “Therefore, in what they have as the Gospel of Matthew,” he says in chapter 13, “although they do not even have it whole, but adulterated and mutilated, and they call this very thing the Hebrew, it is written thus, etc.” And below: Κήρινθος καὶ Καρπόκρας τῷ αὐτῷ χρώμενοι δῆθεν παρʼ αὐτοῖς Εὐαγγελίῳ ἀπὸ τῆς ἀρχῆς τοῦ κατὰ Ματθαῖον εὐαγγελίου, διὰ τῆς γενεαλογίας βούλονται παριστᾷν ἑκ σπέρματος Ἰωσὴφ καὶ Μαρίας εἶναι τὸν Χριστόν. Οὗτοι δὲ ἄλλα τινὰ διανοοῦνται. Παρακόψαντες γὰρ τὰς παρὰ τῷ Ματθαίῳ γενεαλογίας, ἄρχονται τὴν ἀρχὴν ποιεῖσθαι, ὡς προεῖπον. “Cerinthus and Carpocrates, relying on the same Gospel of Matthew, as they say, from its beginning try to prove by the genealogy that Christ was born from the seed of Joseph and Mary. But these (the Ebionites) hold the opposite. For with every genealogy cut off from there, as we said, they make a beginning.” Therefore, the genealogies were missing in that Gospel </w:t>
      </w:r>
      <w:r>
        <w:rPr>
          <w:i/>
        </w:rPr>
        <w:t>according to the Hebrews</w:t>
      </w:r>
      <w:r>
        <w:t xml:space="preserve">, which Theodoret testifies were cut out from the Gospel of the Diatessaron, as harmful to Tatian’s heresy, in book 1 of </w:t>
      </w:r>
      <w:r>
        <w:rPr>
          <w:i/>
        </w:rPr>
        <w:t>Haereticarum Fabularum</w:t>
      </w:r>
      <w:r>
        <w:t>, chapter 20.</w:t>
      </w:r>
    </w:p>
    <w:p w14:paraId="54FA8715" w14:textId="77777777" w:rsidR="005C2B3E" w:rsidRDefault="00000000">
      <w:pPr>
        <w:ind w:firstLine="360"/>
      </w:pPr>
      <w:r>
        <w:t xml:space="preserve">2º In the same Gospel of the Ebionites or </w:t>
      </w:r>
      <w:r>
        <w:rPr>
          <w:i/>
        </w:rPr>
        <w:t>according to the Hebrews</w:t>
      </w:r>
      <w:r>
        <w:t>, many other things occurred adapted to Tatian</w:t>
      </w:r>
      <w:r>
        <w:fldChar w:fldCharType="begin"/>
      </w:r>
      <w:r>
        <w:instrText xml:space="preserve"> XE "Tatian" \f "Persons"</w:instrText>
      </w:r>
      <w:r>
        <w:fldChar w:fldCharType="end"/>
      </w:r>
      <w:r>
        <w:t>’s errors about the law of Moses and the use of animals. Thus Christ spoke in this Gospel: Ὅτι ἦλθον καταλῦσαι τὰς θυσίας, καὶ ἐὰν μὴ παύσησθε τοῦ θύειν, οὖ παύσεται ἀφʼ ὑμῶν ἡ ὀργή. “I have come to abolish the sacrifices, and unless you stop sacrificing, God’s anger will not cease against you.” Because John</w:t>
      </w:r>
      <w:r>
        <w:fldChar w:fldCharType="begin"/>
      </w:r>
      <w:r>
        <w:instrText xml:space="preserve"> XE "John" \f "Persons"</w:instrText>
      </w:r>
      <w:r>
        <w:fldChar w:fldCharType="end"/>
      </w:r>
      <w:r>
        <w:t xml:space="preserve"> is said to have eaten ἀκρίδας, that is locusts, they put ἐγκρίδας Epichyta mellita instead. That saying of Christ in Luke: </w:t>
      </w:r>
      <w:r>
        <w:rPr>
          <w:i/>
        </w:rPr>
        <w:t>Desiderio desideravi hoc Pascha manducare vobiscum</w:t>
      </w:r>
      <w:r>
        <w:t xml:space="preserve"> was reversed in the Gospel of the Ebionites: when the disciples asked, </w:t>
      </w:r>
      <w:r>
        <w:rPr>
          <w:i/>
        </w:rPr>
        <w:t>Where do you want us to prepare to eat the Passover?</w:t>
      </w:r>
      <w:r>
        <w:t xml:space="preserve"> Christ answered: Μὴ </w:t>
      </w:r>
      <w:r>
        <w:lastRenderedPageBreak/>
        <w:t>ἐπιθυμίᾳ ἐπεθύμησα κρέας τοῦτο τὸ πάσχα φαγεῖν μεθʼ ὑμῶν; “Did I desire with desire to eat the flesh of this Passover with you?” In these things it is clear to recognize not only Tatian’s nonsense but also his boldness in perverting the Scriptures at will, about which Eusebius</w:t>
      </w:r>
      <w:r>
        <w:fldChar w:fldCharType="begin"/>
      </w:r>
      <w:r>
        <w:instrText xml:space="preserve"> XE "Eusebius" \f "Persons"</w:instrText>
      </w:r>
      <w:r>
        <w:fldChar w:fldCharType="end"/>
      </w:r>
      <w:r>
        <w:t xml:space="preserve"> speaks in </w:t>
      </w:r>
      <w:r>
        <w:rPr>
          <w:i/>
        </w:rPr>
        <w:t>History</w:t>
      </w:r>
      <w:r>
        <w:t>, iv, 29.</w:t>
      </w:r>
    </w:p>
    <w:p w14:paraId="2A1D0E24" w14:textId="77777777" w:rsidR="005C2B3E" w:rsidRDefault="00000000">
      <w:pPr>
        <w:ind w:firstLine="360"/>
      </w:pPr>
      <w:r>
        <w:t>3º The Gospel according to the Hebrews, which was known to Epiphanius</w:t>
      </w:r>
      <w:r>
        <w:fldChar w:fldCharType="begin"/>
      </w:r>
      <w:r>
        <w:instrText xml:space="preserve"> XE "Epiphanius" \f "Persons"</w:instrText>
      </w:r>
      <w:r>
        <w:fldChar w:fldCharType="end"/>
      </w:r>
      <w:r>
        <w:t>, was not contained, as that which Jerome</w:t>
      </w:r>
      <w:r>
        <w:fldChar w:fldCharType="begin"/>
      </w:r>
      <w:r>
        <w:instrText xml:space="preserve"> XE "Jerome" \f "Persons"</w:instrText>
      </w:r>
      <w:r>
        <w:fldChar w:fldCharType="end"/>
      </w:r>
      <w:r>
        <w:t xml:space="preserve"> translated, in the context of Matthew</w:t>
      </w:r>
      <w:r>
        <w:fldChar w:fldCharType="begin"/>
      </w:r>
      <w:r>
        <w:instrText xml:space="preserve"> XE "Matthew" \f "Persons"</w:instrText>
      </w:r>
      <w:r>
        <w:fldChar w:fldCharType="end"/>
      </w:r>
      <w:r>
        <w:t xml:space="preserve"> alone; but clearly it consisted as the Gospel of Tatian</w:t>
      </w:r>
      <w:r>
        <w:fldChar w:fldCharType="begin"/>
      </w:r>
      <w:r>
        <w:instrText xml:space="preserve"> XE "Tatian" \f "Persons"</w:instrText>
      </w:r>
      <w:r>
        <w:fldChar w:fldCharType="end"/>
      </w:r>
      <w:r>
        <w:t xml:space="preserve"> the Diatessaron, cleverly woven together from other places of the evangelists. This is clear both from the words of Luke</w:t>
      </w:r>
      <w:r>
        <w:fldChar w:fldCharType="begin"/>
      </w:r>
      <w:r>
        <w:instrText xml:space="preserve"> XE "Luke" \f "Persons"</w:instrText>
      </w:r>
      <w:r>
        <w:fldChar w:fldCharType="end"/>
      </w:r>
      <w:r>
        <w:t>, which we have just seen maliciously twisted in this Gospel, and from another testimony added by Epiphanius, number 13, partly composed from the words of Matthew, partly from those of Mark</w:t>
      </w:r>
      <w:r>
        <w:fldChar w:fldCharType="begin"/>
      </w:r>
      <w:r>
        <w:instrText xml:space="preserve"> XE "Mark" \f "Persons"</w:instrText>
      </w:r>
      <w:r>
        <w:fldChar w:fldCharType="end"/>
      </w:r>
      <w:r>
        <w:t xml:space="preserve"> and Luke.</w:t>
      </w:r>
    </w:p>
    <w:p w14:paraId="37B448EE" w14:textId="77777777" w:rsidR="005C2B3E" w:rsidRDefault="00000000">
      <w:pPr>
        <w:ind w:firstLine="360"/>
      </w:pPr>
      <w:r>
        <w:t>4º In the same Gospel according to the Hebrews, the baptism of Christ is described, as with the teacher Tatian</w:t>
      </w:r>
      <w:r>
        <w:fldChar w:fldCharType="begin"/>
      </w:r>
      <w:r>
        <w:instrText xml:space="preserve"> XE "Tatian" \f "Persons"</w:instrText>
      </w:r>
      <w:r>
        <w:fldChar w:fldCharType="end"/>
      </w:r>
      <w:r>
        <w:t xml:space="preserve">’s Justin: these words of the Father are reported as heard: </w:t>
      </w:r>
      <w:r>
        <w:rPr>
          <w:i/>
        </w:rPr>
        <w:t>I have begotten you today</w:t>
      </w:r>
      <w:r>
        <w:t>: a great light is said to have shone in the Jordan.</w:t>
      </w:r>
    </w:p>
    <w:p w14:paraId="1A5EA1BD" w14:textId="77777777" w:rsidR="005C2B3E" w:rsidRDefault="00000000">
      <w:pPr>
        <w:ind w:firstLine="360"/>
      </w:pPr>
      <w:r>
        <w:t>Epiphanius</w:t>
      </w:r>
      <w:r>
        <w:fldChar w:fldCharType="begin"/>
      </w:r>
      <w:r>
        <w:instrText xml:space="preserve"> XE "Epiphanius" \f "Persons"</w:instrText>
      </w:r>
      <w:r>
        <w:fldChar w:fldCharType="end"/>
      </w:r>
      <w:r>
        <w:t xml:space="preserve"> felt that many things in this Gospel were in conflict with the Ebionites. For since he knew that they considered Christ a simple man, he was not surprised that they used these words of Christ: </w:t>
      </w:r>
      <w:r>
        <w:rPr>
          <w:i/>
        </w:rPr>
        <w:t>Who is my mother and my brothers?</w:t>
      </w:r>
      <w:r>
        <w:t xml:space="preserve"> to prove that Christ was not a man, but he thought they were fighting against themselves. But it is incredible how inconsistent they were, saying both that he was a man born of men and denying that he was a man. Epiphanius attributed many other things to the Ebionites, all completely opposed to the opinion confirmed by all antiquity. He declares that they detested all the prophets, number 15. </w:t>
      </w:r>
      <w:r>
        <w:rPr>
          <w:i/>
        </w:rPr>
        <w:t>But the prophecies,</w:t>
      </w:r>
      <w:r>
        <w:t xml:space="preserve"> if we believe Irenaeus</w:t>
      </w:r>
      <w:r>
        <w:fldChar w:fldCharType="begin"/>
      </w:r>
      <w:r>
        <w:instrText xml:space="preserve"> XE "Irenaeus" \f "Persons"</w:instrText>
      </w:r>
      <w:r>
        <w:fldChar w:fldCharType="end"/>
      </w:r>
      <w:r>
        <w:t xml:space="preserve">, book 1, chapter 26, </w:t>
      </w:r>
      <w:r>
        <w:rPr>
          <w:i/>
        </w:rPr>
        <w:t>they tried to explain more curiously.</w:t>
      </w:r>
      <w:r>
        <w:t xml:space="preserve"> Epiphanius adds that they abstained from all living things because they were born from sexual union, used only water in celebrating mysteries, and made a distinction between Jesus and Christ, saying that Christ, the Son of God, descended into Jesus. Indeed, I would prefer to believe that the Ebionites were confused by Epiphanius with Cerinthus</w:t>
      </w:r>
      <w:r>
        <w:fldChar w:fldCharType="begin"/>
      </w:r>
      <w:r>
        <w:instrText xml:space="preserve"> XE "Cerinthus" \f "Persons"</w:instrText>
      </w:r>
      <w:r>
        <w:fldChar w:fldCharType="end"/>
      </w:r>
      <w:r>
        <w:t xml:space="preserve"> or Carpocrates</w:t>
      </w:r>
      <w:r>
        <w:fldChar w:fldCharType="begin"/>
      </w:r>
      <w:r>
        <w:instrText xml:space="preserve"> XE "Carpocrates" \f "Persons"</w:instrText>
      </w:r>
      <w:r>
        <w:fldChar w:fldCharType="end"/>
      </w:r>
      <w:r>
        <w:t xml:space="preserve"> or other such sects, which said that Jesus was a man born of men but held that Christ was impassible and rejected the God of the Old Testament and the Creator of the world. They had much affinity with Tatian</w:t>
      </w:r>
      <w:r>
        <w:fldChar w:fldCharType="begin"/>
      </w:r>
      <w:r>
        <w:instrText xml:space="preserve"> XE "Tatian" \f "Persons"</w:instrText>
      </w:r>
      <w:r>
        <w:fldChar w:fldCharType="end"/>
      </w:r>
      <w:r>
        <w:t xml:space="preserve"> and could conveniently use his Gospel for their errors.</w:t>
      </w:r>
    </w:p>
    <w:p w14:paraId="3B6F89E1" w14:textId="77777777" w:rsidR="005C2B3E" w:rsidRDefault="00000000">
      <w:pPr>
        <w:ind w:firstLine="360"/>
      </w:pPr>
      <w:r>
        <w:t>VII. I would easily believe that the Gospel called according to Peter</w:t>
      </w:r>
      <w:r>
        <w:fldChar w:fldCharType="begin"/>
      </w:r>
      <w:r>
        <w:instrText xml:space="preserve"> XE "Peter" \f "Persons"</w:instrText>
      </w:r>
      <w:r>
        <w:fldChar w:fldCharType="end"/>
      </w:r>
      <w:r>
        <w:t xml:space="preserve"> was not different from Tatian</w:t>
      </w:r>
      <w:r>
        <w:fldChar w:fldCharType="begin"/>
      </w:r>
      <w:r>
        <w:instrText xml:space="preserve"> XE "Tatian" \f "Persons"</w:instrText>
      </w:r>
      <w:r>
        <w:fldChar w:fldCharType="end"/>
      </w:r>
      <w:r>
        <w:t>’s Gospel. The time and the facts agree wonderfully, as we learn from the testimony of Serapion</w:t>
      </w:r>
      <w:r>
        <w:fldChar w:fldCharType="begin"/>
      </w:r>
      <w:r>
        <w:instrText xml:space="preserve"> XE "Serapion" \f "Persons"</w:instrText>
      </w:r>
      <w:r>
        <w:fldChar w:fldCharType="end"/>
      </w:r>
      <w:r>
        <w:t>, bishop of Antioch, in Eusebius</w:t>
      </w:r>
      <w:r>
        <w:fldChar w:fldCharType="begin"/>
      </w:r>
      <w:r>
        <w:instrText xml:space="preserve"> XE "Eusebius" \f "Persons"</w:instrText>
      </w:r>
      <w:r>
        <w:fldChar w:fldCharType="end"/>
      </w:r>
      <w:r>
        <w:t xml:space="preserve">, book 6, chapter 12. Before Serapion himself examined that Gospel of Peter, he allowed it to be read in the church of Rhossus, so that the disagreements, which that Gospel had caused, might not become worse. But after he read it through, he wrote a book for the benefit of those who had been deceived, in which he said: Ἐδυνήθημεν γὰρ παρʼ ἄλλων τῶν ἀσκησάντων τοῦτο τὸ Εὐαγγέλιον, τουτέστι παρὰ τῶν διαδόχων τῶν καταρξαμένων </w:t>
      </w:r>
      <w:r>
        <w:lastRenderedPageBreak/>
        <w:t>αὐτοῦ, οὓς Δοκητὰς καλοῦμεν (τὰ γὰρ πλείονα φρονήματα ἐκείνων ἐστὶ τῆς διδασκαλίας) χρησάμενοι παρʼ αὐτῶν διελθεῖν· καὶ εὑρεῖν τὰ μὲν πλείονα τοῦ ὀρθοῦ λόγου τοῦ Σωτῆρος, τινὰ δὲ προσδιεσταλμένα, ἂ καὶ ὑπετάξαμεν ὑμῖν.</w:t>
      </w:r>
    </w:p>
    <w:p w14:paraId="41095BBF" w14:textId="77777777" w:rsidR="005C2B3E" w:rsidRDefault="00000000">
      <w:pPr>
        <w:ind w:firstLine="360"/>
      </w:pPr>
      <w:r>
        <w:t>“For we obtained this Gospel from others who practiced it, that is, from the successors of those who began it, whom we call Docetists (for most of their opinions come from their teaching). Using their help, we went through it and found that most of the Savior’s teaching was correct, but some things were distorted, which we have also submitted to you.”</w:t>
      </w:r>
    </w:p>
    <w:p w14:paraId="1F119484" w14:textId="77777777" w:rsidR="005C2B3E" w:rsidRDefault="00000000">
      <w:pPr>
        <w:ind w:firstLine="360"/>
      </w:pPr>
      <w:r>
        <w:t>Serapion</w:t>
      </w:r>
      <w:r>
        <w:fldChar w:fldCharType="begin"/>
      </w:r>
      <w:r>
        <w:instrText xml:space="preserve"> XE "Serapion" \f "Persons"</w:instrText>
      </w:r>
      <w:r>
        <w:fldChar w:fldCharType="end"/>
      </w:r>
      <w:r>
        <w:t>, who ruled the Church of Antioch from the year 190 to the year 211, lived at the same time as Tatian</w:t>
      </w:r>
      <w:r>
        <w:fldChar w:fldCharType="begin"/>
      </w:r>
      <w:r>
        <w:instrText xml:space="preserve"> XE "Tatian" \f "Persons"</w:instrText>
      </w:r>
      <w:r>
        <w:fldChar w:fldCharType="end"/>
      </w:r>
      <w:r>
        <w:t>’s successors. Just as Tatian’s Diatessaron, so also the Gospel called according to Peter</w:t>
      </w:r>
      <w:r>
        <w:fldChar w:fldCharType="begin"/>
      </w:r>
      <w:r>
        <w:instrText xml:space="preserve"> XE "Peter" \f "Persons"</w:instrText>
      </w:r>
      <w:r>
        <w:fldChar w:fldCharType="end"/>
      </w:r>
      <w:r>
        <w:t xml:space="preserve"> was so skillfully composed that it did not deceive the less learned Catholics; both were rejected by learned bishops, Theodore and Serapion, after being warned. Moreover, the Gospel according to Peter was worn out by the use of the Docetists; but most of the comments had been taken from Tatian by the Docetists, and I do not see why they would not also have taken that Gospel from him, or why they undertook to build a new one, since Tatian had provided sufficiently for their common errors, and even if they disagreed about the flesh of Christ, at least in this they agreed in cutting off the genealogies common to both.</w:t>
      </w:r>
    </w:p>
    <w:p w14:paraId="007B5589" w14:textId="77777777" w:rsidR="005C2B3E" w:rsidRDefault="00000000">
      <w:pPr>
        <w:ind w:firstLine="360"/>
      </w:pPr>
      <w:r>
        <w:t>Nor should that be omitted, which Theodoret</w:t>
      </w:r>
      <w:r>
        <w:fldChar w:fldCharType="begin"/>
      </w:r>
      <w:r>
        <w:instrText xml:space="preserve"> XE "Theodoret" \f "Persons"</w:instrText>
      </w:r>
      <w:r>
        <w:fldChar w:fldCharType="end"/>
      </w:r>
      <w:r>
        <w:t xml:space="preserve"> testifies, </w:t>
      </w:r>
      <w:r>
        <w:rPr>
          <w:i/>
        </w:rPr>
        <w:t>Haereticarum fabulae</w:t>
      </w:r>
      <w:r>
        <w:t>, book 2, chapter 2, that the Gospel of Peter was used by the Nazarenes. This is certainly incredible, for the Nazarenes were guilty of only one fault: that they stubbornly held to the law of Moses. But since the Nazarenes are often confused with the Ebionites, whom Epiphanius</w:t>
      </w:r>
      <w:r>
        <w:fldChar w:fldCharType="begin"/>
      </w:r>
      <w:r>
        <w:instrText xml:space="preserve"> XE "Epiphanius" \f "Persons"</w:instrText>
      </w:r>
      <w:r>
        <w:fldChar w:fldCharType="end"/>
      </w:r>
      <w:r>
        <w:t xml:space="preserve"> writes used Tatian</w:t>
      </w:r>
      <w:r>
        <w:fldChar w:fldCharType="begin"/>
      </w:r>
      <w:r>
        <w:instrText xml:space="preserve"> XE "Tatian" \f "Persons"</w:instrText>
      </w:r>
      <w:r>
        <w:fldChar w:fldCharType="end"/>
      </w:r>
      <w:r>
        <w:t>’s Gospel, it seems that Theodoret was given an occasion to err.</w:t>
      </w:r>
    </w:p>
    <w:p w14:paraId="168D2A7C" w14:textId="77777777" w:rsidR="005C2B3E" w:rsidRDefault="00000000">
      <w:pPr>
        <w:pStyle w:val="Heading3"/>
      </w:pPr>
      <w:r>
        <w:t>CHAPTER 13</w:t>
      </w:r>
    </w:p>
    <w:p w14:paraId="40A395FD" w14:textId="77777777" w:rsidR="005C2B3E" w:rsidRDefault="00000000">
      <w:pPr>
        <w:pStyle w:val="Heading4"/>
      </w:pPr>
      <w:r>
        <w:t>ON THE DEEDS AND WRITINGS OF ATHENAGORAS</w:t>
      </w:r>
    </w:p>
    <w:p w14:paraId="5EBDE011" w14:textId="77777777" w:rsidR="005C2B3E" w:rsidRDefault="00000000">
      <w:pPr>
        <w:spacing w:before="180" w:after="0"/>
        <w:ind w:left="720" w:right="320" w:hanging="360"/>
      </w:pPr>
      <w:r>
        <w:t>The testimony of Philip Sidetes about Athenagoras is examined. II. Whether the same Athenagoras is also Athenogenes. III. The apology offered by him to Marcus Aurelius and his son Commodus. IV. Offered in the year 176, and not only written. V. About another of his books, which is on the resurrection of the dead.</w:t>
      </w:r>
    </w:p>
    <w:p w14:paraId="3549C38B" w14:textId="77777777" w:rsidR="005C2B3E" w:rsidRDefault="00000000">
      <w:r>
        <w:t>I. The title of his works shows that Athenagoras</w:t>
      </w:r>
      <w:r>
        <w:fldChar w:fldCharType="begin"/>
      </w:r>
      <w:r>
        <w:instrText xml:space="preserve"> XE "Athenagoras" \f "Persons"</w:instrText>
      </w:r>
      <w:r>
        <w:fldChar w:fldCharType="end"/>
      </w:r>
      <w:r>
        <w:t xml:space="preserve"> was an Athenian and a philosopher. The harvest of speech about his deeds is not very abundant, since his name has almost been erased by oblivion. For if you except Methodius</w:t>
      </w:r>
      <w:r>
        <w:fldChar w:fldCharType="begin"/>
      </w:r>
      <w:r>
        <w:instrText xml:space="preserve"> XE "Methodius" \f "Persons"</w:instrText>
      </w:r>
      <w:r>
        <w:fldChar w:fldCharType="end"/>
      </w:r>
      <w:r>
        <w:t xml:space="preserve"> the martyr and Philip</w:t>
      </w:r>
      <w:r>
        <w:fldChar w:fldCharType="begin"/>
      </w:r>
      <w:r>
        <w:instrText xml:space="preserve"> XE "Philip" \f "Persons"</w:instrText>
      </w:r>
      <w:r>
        <w:fldChar w:fldCharType="end"/>
      </w:r>
      <w:r>
        <w:t xml:space="preserve"> Sidetes</w:t>
      </w:r>
      <w:r>
        <w:fldChar w:fldCharType="begin"/>
      </w:r>
      <w:r>
        <w:instrText xml:space="preserve"> XE "Philip Sidetes" \f "Persons"</w:instrText>
      </w:r>
      <w:r>
        <w:fldChar w:fldCharType="end"/>
      </w:r>
      <w:r>
        <w:t xml:space="preserve">, of whom one quotes some sentence of Athenagoras in Epiphanius, heresies 64, and the other spoke briefly and almost in passing about him, there is deep silence about this </w:t>
      </w:r>
      <w:r>
        <w:lastRenderedPageBreak/>
        <w:t>remarkable writer throughout all antiquity. Yet his fame should have spread more widely, if what Philip Sidetes reports is true, that he presided over the Alexandrian school and that Clement</w:t>
      </w:r>
      <w:r>
        <w:fldChar w:fldCharType="begin"/>
      </w:r>
      <w:r>
        <w:instrText xml:space="preserve"> XE "Clement" \f "Persons"</w:instrText>
      </w:r>
      <w:r>
        <w:fldChar w:fldCharType="end"/>
      </w:r>
      <w:r>
        <w:t xml:space="preserve"> succeeded him as a student in this office. This testimony of Philip Sidetes is reported in a certain fragment, which, as Dodwell conjectures, is taken from the works of Nicephorus Callistus</w:t>
      </w:r>
      <w:r>
        <w:fldChar w:fldCharType="begin"/>
      </w:r>
      <w:r>
        <w:instrText xml:space="preserve"> XE "Nicephorus Callistus" \f "Persons"</w:instrText>
      </w:r>
      <w:r>
        <w:fldChar w:fldCharType="end"/>
      </w:r>
      <w:r>
        <w:t xml:space="preserve"> and is read at the end of Dodwell’s dissertations on Irenaeus. Thus are the things said there about Athenagoras:</w:t>
      </w:r>
    </w:p>
    <w:p w14:paraId="69DF7D64" w14:textId="77777777" w:rsidR="005C2B3E" w:rsidRDefault="00000000">
      <w:pPr>
        <w:ind w:firstLine="360"/>
      </w:pPr>
      <w:r>
        <w:t>Καί φησι Φίλιππος ὁ Σιδητὴς ἐν λόγῳ κδʹ· “Τοῦ διδασκαλείου τοῦ ἐν Ἀλεξανδρείᾳ Ἀθηναγόρας πρῶτος ἡγήσατο, κατὰ τοὺς χρόνους ἀκμάσας Ἀδριανοῦ καὶ Ἀντωνίνου, οἷς καὶ τὸν ὑπὲρ Χριστιανῶν πρεσβευτικὸν προσεφώνησεν· ἀνὴρ ἐν αὐτῷ χριστιανίσας τῷ τρίβωνι καὶ τῆς Ἀκαδημαϊκῆς σχολῆς προϊστάμενος. Οὗτος πρὸ τοῦ Κέλσου κατὰ Χριστιανῶν γράψαι προθυμηθεὶς, ἐντυχὼν ταῖς θείαις Γραφαῖς εἰς τὸ ἀκριβέστερον ἀγωνίσασθαι, οὕτως εἵλετο τῷ παναγίῳ Πνεύματι, ὥστε διδάσκαλον, κατὰ τὸν μέγαν Παῦλον, ἀντὶ διώκτου γενέσθαι τῆς πίστεως ἧς ἐδίωκεν.”</w:t>
      </w:r>
    </w:p>
    <w:p w14:paraId="3DDA539F" w14:textId="77777777" w:rsidR="005C2B3E" w:rsidRDefault="00000000">
      <w:pPr>
        <w:ind w:firstLine="360"/>
      </w:pPr>
      <w:r>
        <w:t>Τούτου μαθητὴν γενέσθαι φησὶν ὁ Φίλιππος τὸν στρωματέα Κλήμεντα καὶ Πάνταινον τοῦ Κλήμεντος.</w:t>
      </w:r>
    </w:p>
    <w:p w14:paraId="7BC6E2FC" w14:textId="77777777" w:rsidR="005C2B3E" w:rsidRDefault="00000000">
      <w:pPr>
        <w:ind w:firstLine="360"/>
      </w:pPr>
      <w:r>
        <w:t>Philip</w:t>
      </w:r>
      <w:r>
        <w:fldChar w:fldCharType="begin"/>
      </w:r>
      <w:r>
        <w:instrText xml:space="preserve"> XE "Philip" \f "Persons"</w:instrText>
      </w:r>
      <w:r>
        <w:fldChar w:fldCharType="end"/>
      </w:r>
      <w:r>
        <w:t xml:space="preserve"> Sidetes</w:t>
      </w:r>
      <w:r>
        <w:fldChar w:fldCharType="begin"/>
      </w:r>
      <w:r>
        <w:instrText xml:space="preserve"> XE "Philip Sidetes" \f "Persons"</w:instrText>
      </w:r>
      <w:r>
        <w:fldChar w:fldCharType="end"/>
      </w:r>
      <w:r>
        <w:t xml:space="preserve"> says in sermon 24: “Athenagoras</w:t>
      </w:r>
      <w:r>
        <w:fldChar w:fldCharType="begin"/>
      </w:r>
      <w:r>
        <w:instrText xml:space="preserve"> XE "Athenagoras" \f "Persons"</w:instrText>
      </w:r>
      <w:r>
        <w:fldChar w:fldCharType="end"/>
      </w:r>
      <w:r>
        <w:t xml:space="preserve"> was the first to preside over the school in Alexandria, flourishing in the times of Hadrian and Antoninus, to whom he also addressed the legation speech on behalf of the Christians; a man who professed the Christian faith in his own cloak and was head of the Academic school. This man, eager to write against the Christians before Celsus, encountering the divine Scriptures to fight more accurately, was so seized by the Holy Spirit that, according to the great Paul, he became a teacher instead of a persecutor of the faith he had been pursuing.”</w:t>
      </w:r>
    </w:p>
    <w:p w14:paraId="17FED0CA" w14:textId="77777777" w:rsidR="005C2B3E" w:rsidRDefault="00000000">
      <w:pPr>
        <w:ind w:firstLine="360"/>
      </w:pPr>
      <w:r>
        <w:t>Philip</w:t>
      </w:r>
      <w:r>
        <w:fldChar w:fldCharType="begin"/>
      </w:r>
      <w:r>
        <w:instrText xml:space="preserve"> XE "Philip" \f "Persons"</w:instrText>
      </w:r>
      <w:r>
        <w:fldChar w:fldCharType="end"/>
      </w:r>
      <w:r>
        <w:t xml:space="preserve"> says that Clement</w:t>
      </w:r>
      <w:r>
        <w:fldChar w:fldCharType="begin"/>
      </w:r>
      <w:r>
        <w:instrText xml:space="preserve"> XE "Clement" \f "Persons"</w:instrText>
      </w:r>
      <w:r>
        <w:fldChar w:fldCharType="end"/>
      </w:r>
      <w:r>
        <w:t xml:space="preserve"> the bed-maker and Pantainus, son of Clement, were his disciples.</w:t>
      </w:r>
    </w:p>
    <w:p w14:paraId="259C96F2" w14:textId="77777777" w:rsidR="005C2B3E" w:rsidRDefault="00000000">
      <w:pPr>
        <w:ind w:firstLine="360"/>
      </w:pPr>
      <w:r>
        <w:t>Although the authority of Philip</w:t>
      </w:r>
      <w:r>
        <w:fldChar w:fldCharType="begin"/>
      </w:r>
      <w:r>
        <w:instrText xml:space="preserve"> XE "Philip" \f "Persons"</w:instrText>
      </w:r>
      <w:r>
        <w:fldChar w:fldCharType="end"/>
      </w:r>
      <w:r>
        <w:t xml:space="preserve"> is not very great, and Socrates</w:t>
      </w:r>
      <w:r>
        <w:fldChar w:fldCharType="begin"/>
      </w:r>
      <w:r>
        <w:instrText xml:space="preserve"> XE "Socrates" \f "Persons"</w:instrText>
      </w:r>
      <w:r>
        <w:fldChar w:fldCharType="end"/>
      </w:r>
      <w:r>
        <w:t xml:space="preserve">, in book 17, chapter 27, judges his work, which he titled </w:t>
      </w:r>
      <w:r>
        <w:rPr>
          <w:i/>
        </w:rPr>
        <w:t>Christian History</w:t>
      </w:r>
      <w:r>
        <w:t>, to be useless both to the learned and the unlearned, and Photius</w:t>
      </w:r>
      <w:r>
        <w:fldChar w:fldCharType="begin"/>
      </w:r>
      <w:r>
        <w:instrText xml:space="preserve"> XE "Photius" \f "Persons"</w:instrText>
      </w:r>
      <w:r>
        <w:fldChar w:fldCharType="end"/>
      </w:r>
      <w:r>
        <w:t xml:space="preserve"> agrees in codex 35, Dodwell nevertheless thinks that even Eusebius</w:t>
      </w:r>
      <w:r>
        <w:fldChar w:fldCharType="begin"/>
      </w:r>
      <w:r>
        <w:instrText xml:space="preserve"> XE "Eusebius" \f "Persons"</w:instrText>
      </w:r>
      <w:r>
        <w:fldChar w:fldCharType="end"/>
      </w:r>
      <w:r>
        <w:t xml:space="preserve"> should be set aside in this matter of Athenagoras</w:t>
      </w:r>
      <w:r>
        <w:fldChar w:fldCharType="begin"/>
      </w:r>
      <w:r>
        <w:instrText xml:space="preserve"> XE "Athenagoras" \f "Persons"</w:instrText>
      </w:r>
      <w:r>
        <w:fldChar w:fldCharType="end"/>
      </w:r>
      <w:r>
        <w:t xml:space="preserve"> and other heads of the Alexandrian school, because Philip was a disciple of Rhodon</w:t>
      </w:r>
      <w:r>
        <w:fldChar w:fldCharType="begin"/>
      </w:r>
      <w:r>
        <w:instrText xml:space="preserve"> XE "Rhodon" \f "Persons"</w:instrText>
      </w:r>
      <w:r>
        <w:fldChar w:fldCharType="end"/>
      </w:r>
      <w:r>
        <w:t>, who presided over the Alexandrian school after Didymus</w:t>
      </w:r>
      <w:r>
        <w:fldChar w:fldCharType="begin"/>
      </w:r>
      <w:r>
        <w:instrText xml:space="preserve"> XE "Didymus" \f "Persons"</w:instrText>
      </w:r>
      <w:r>
        <w:fldChar w:fldCharType="end"/>
      </w:r>
      <w:r>
        <w:t xml:space="preserve"> and transferred the same school to the city of Sidon, where Philip says he heard him, as the praised author of the excerpted testimony, whether that is Nicephorus</w:t>
      </w:r>
      <w:r>
        <w:fldChar w:fldCharType="begin"/>
      </w:r>
      <w:r>
        <w:instrText xml:space="preserve"> XE "Nicephorus" \f "Persons"</w:instrText>
      </w:r>
      <w:r>
        <w:fldChar w:fldCharType="end"/>
      </w:r>
      <w:r>
        <w:t xml:space="preserve"> or someone else. I do not deny that Dodwell’s reasoning has some weight, so that if Philip reports something that does not conflict with the best monuments, it is to be accepted. But Dodwell will never succeed in having a writer of no great weight, equal to Proclus</w:t>
      </w:r>
      <w:r>
        <w:fldChar w:fldCharType="begin"/>
      </w:r>
      <w:r>
        <w:instrText xml:space="preserve"> XE "Proclus" \f "Persons"</w:instrText>
      </w:r>
      <w:r>
        <w:fldChar w:fldCharType="end"/>
      </w:r>
      <w:r>
        <w:t xml:space="preserve"> and Sisinnius</w:t>
      </w:r>
      <w:r>
        <w:fldChar w:fldCharType="begin"/>
      </w:r>
      <w:r>
        <w:instrText xml:space="preserve"> XE "Sisinnius" \f "Persons"</w:instrText>
      </w:r>
      <w:r>
        <w:fldChar w:fldCharType="end"/>
      </w:r>
      <w:r>
        <w:t xml:space="preserve"> and serving as deacon under John Chrysostom</w:t>
      </w:r>
      <w:r>
        <w:fldChar w:fldCharType="begin"/>
      </w:r>
      <w:r>
        <w:instrText xml:space="preserve"> XE "Chrysostom" \f "Persons"</w:instrText>
      </w:r>
      <w:r>
        <w:fldChar w:fldCharType="end"/>
      </w:r>
      <w:r>
        <w:t xml:space="preserve">, preferred to Eusebius, who is both older and more accurate and who saw many more monuments of the Alexandrian school and many </w:t>
      </w:r>
      <w:r>
        <w:lastRenderedPageBreak/>
        <w:t xml:space="preserve">learned men either in charge of it or trained there. Therefore, to avoid straying far from the truth, I reject Philip’s claim that the </w:t>
      </w:r>
      <w:r>
        <w:rPr>
          <w:i/>
        </w:rPr>
        <w:t>Apology</w:t>
      </w:r>
      <w:r>
        <w:t xml:space="preserve"> of Athenagoras was addressed to the emperors Hadrian and Antoninus; many things in the same testimony are partly not very probable, partly completely false and absurd. I am not willing to believe that Athenagoras was head of the Alexandrian school. For how could his writings have been so hidden in such a high and lofty place that none of them reached Eusebius at all? Certainly, what Philip says that Athenagoras was the first to preside over this school cannot be said. For Eusebius clearly testifies that the school of sacred letters was established in the city of Alexandria from ancient times, before Pantænus</w:t>
      </w:r>
      <w:r>
        <w:fldChar w:fldCharType="begin"/>
      </w:r>
      <w:r>
        <w:instrText xml:space="preserve"> XE "Pantænus" \f "Persons"</w:instrText>
      </w:r>
      <w:r>
        <w:fldChar w:fldCharType="end"/>
      </w:r>
      <w:r>
        <w:t xml:space="preserve"> presided over it.</w:t>
      </w:r>
    </w:p>
    <w:p w14:paraId="03579949" w14:textId="77777777" w:rsidR="005C2B3E" w:rsidRDefault="00000000">
      <w:pPr>
        <w:ind w:firstLine="360"/>
      </w:pPr>
      <w:r>
        <w:t>No less absurdly, the same Philip</w:t>
      </w:r>
      <w:r>
        <w:fldChar w:fldCharType="begin"/>
      </w:r>
      <w:r>
        <w:instrText xml:space="preserve"> XE "Philip" \f "Persons"</w:instrText>
      </w:r>
      <w:r>
        <w:fldChar w:fldCharType="end"/>
      </w:r>
      <w:r>
        <w:t xml:space="preserve"> claims that Athenagoras</w:t>
      </w:r>
      <w:r>
        <w:fldChar w:fldCharType="begin"/>
      </w:r>
      <w:r>
        <w:instrText xml:space="preserve"> XE "Athenagoras" \f "Persons"</w:instrText>
      </w:r>
      <w:r>
        <w:fldChar w:fldCharType="end"/>
      </w:r>
      <w:r>
        <w:t xml:space="preserve"> was the teacher of Clement</w:t>
      </w:r>
      <w:r>
        <w:fldChar w:fldCharType="begin"/>
      </w:r>
      <w:r>
        <w:instrText xml:space="preserve"> XE "Clement" \f "Persons"</w:instrText>
      </w:r>
      <w:r>
        <w:fldChar w:fldCharType="end"/>
      </w:r>
      <w:r>
        <w:t xml:space="preserve"> of Alexandria</w:t>
      </w:r>
      <w:r>
        <w:fldChar w:fldCharType="begin"/>
      </w:r>
      <w:r>
        <w:instrText xml:space="preserve"> XE "Clement of Alexandria" \f "Persons"</w:instrText>
      </w:r>
      <w:r>
        <w:fldChar w:fldCharType="end"/>
      </w:r>
      <w:r>
        <w:t>, and that Clement was the teacher of Pantænus</w:t>
      </w:r>
      <w:r>
        <w:fldChar w:fldCharType="begin"/>
      </w:r>
      <w:r>
        <w:instrText xml:space="preserve"> XE "Pantænus" \f "Persons"</w:instrText>
      </w:r>
      <w:r>
        <w:fldChar w:fldCharType="end"/>
      </w:r>
      <w:r>
        <w:t xml:space="preserve">. There is no doubt that Clement of Alexandria was not the teacher of Pantænus but his student. He gratefully recalled the teaching he received from Pantænus in the </w:t>
      </w:r>
      <w:r>
        <w:rPr>
          <w:i/>
        </w:rPr>
        <w:t>Hypotyposes</w:t>
      </w:r>
      <w:r>
        <w:t>. Eusebius</w:t>
      </w:r>
      <w:r>
        <w:fldChar w:fldCharType="begin"/>
      </w:r>
      <w:r>
        <w:instrText xml:space="preserve"> XE "Eusebius" \f "Persons"</w:instrText>
      </w:r>
      <w:r>
        <w:fldChar w:fldCharType="end"/>
      </w:r>
      <w:r>
        <w:t xml:space="preserve"> testifies to this in </w:t>
      </w:r>
      <w:r>
        <w:rPr>
          <w:i/>
        </w:rPr>
        <w:t>Hist.</w:t>
      </w:r>
      <w:r>
        <w:t>, book 5, chapter 11: Ὃς δὴ καὶ ὀνομαστὶ ἐν αἷς συνέταξεν Ὑποτυπώσεσιν ὡς ἂν διδασκάλου τοῦ Πανταίνου μέμνηται. “Clement clearly mentions Pantænus as his teacher in the books of the Institutions that he wrote.” And Photius</w:t>
      </w:r>
      <w:r>
        <w:fldChar w:fldCharType="begin"/>
      </w:r>
      <w:r>
        <w:instrText xml:space="preserve"> XE "Photius" \f "Persons"</w:instrText>
      </w:r>
      <w:r>
        <w:fldChar w:fldCharType="end"/>
      </w:r>
      <w:r>
        <w:t xml:space="preserve">, codex 109, about the same Clement: Μαθητὴς δὲ, ὡς αὐτός φησι, γέγονε Πανταίνου. “He was, as he himself says, a disciple of Pantænus.” Therefore, Philip does not deserve belief when he differs so much from Clement about these matters. From this it can also be seen that the conjecture, as Dodwell thought, is not baseless but rests on firm evidence in Eusebius, who concludes that the teacher whom Clement heard last in order and time, and rightly the foremost in Egypt, was Pantænus. For since Clement gave his effort in Egypt to only one teacher, as he himself testifies, and since Pantænus taught in Egypt and had Clement as his listener, is it an empty conclusion that the teacher whom Clement alone (in </w:t>
      </w:r>
      <w:r>
        <w:rPr>
          <w:i/>
        </w:rPr>
        <w:t>Stromata</w:t>
      </w:r>
      <w:r>
        <w:t>, book 1, p. 271) heard in Egypt was no other than Pantænus? Such a story smells of fiction. Yet I have not equally rejected in the testimony of Philip Sidetes</w:t>
      </w:r>
      <w:r>
        <w:fldChar w:fldCharType="begin"/>
      </w:r>
      <w:r>
        <w:instrText xml:space="preserve"> XE "Philip Sidetes" \f "Persons"</w:instrText>
      </w:r>
      <w:r>
        <w:fldChar w:fldCharType="end"/>
      </w:r>
      <w:r>
        <w:t xml:space="preserve"> what is told about the remarkable conversion of Athenagoras and his profession of the Christian religion in his own cloak. These things do not contradict at all; but they would be more certain if Philip had shown greater faith and care in writing history.</w:t>
      </w:r>
    </w:p>
    <w:p w14:paraId="52A0310D" w14:textId="77777777" w:rsidR="005C2B3E" w:rsidRDefault="00000000">
      <w:pPr>
        <w:ind w:firstLine="360"/>
      </w:pPr>
      <w:r>
        <w:t>II. The most distinguished men, Baronius</w:t>
      </w:r>
      <w:r>
        <w:fldChar w:fldCharType="begin"/>
      </w:r>
      <w:r>
        <w:instrText xml:space="preserve"> XE "Baronius" \f "Persons"</w:instrText>
      </w:r>
      <w:r>
        <w:fldChar w:fldCharType="end"/>
      </w:r>
      <w:r>
        <w:t xml:space="preserve"> and Tillemont, suspect that Athenagoras</w:t>
      </w:r>
      <w:r>
        <w:fldChar w:fldCharType="begin"/>
      </w:r>
      <w:r>
        <w:instrText xml:space="preserve"> XE "Athenagoras" \f "Persons"</w:instrText>
      </w:r>
      <w:r>
        <w:fldChar w:fldCharType="end"/>
      </w:r>
      <w:r>
        <w:t xml:space="preserve"> is the same as Saint Athenogenes</w:t>
      </w:r>
      <w:r>
        <w:fldChar w:fldCharType="begin"/>
      </w:r>
      <w:r>
        <w:instrText xml:space="preserve"> XE "Athenogenes" \f "Persons"</w:instrText>
      </w:r>
      <w:r>
        <w:fldChar w:fldCharType="end"/>
      </w:r>
      <w:r>
        <w:t xml:space="preserve"> the martyr, whose hymn was praised by Basil</w:t>
      </w:r>
      <w:r>
        <w:fldChar w:fldCharType="begin"/>
      </w:r>
      <w:r>
        <w:instrText xml:space="preserve"> XE "Basil" \f "Persons"</w:instrText>
      </w:r>
      <w:r>
        <w:fldChar w:fldCharType="end"/>
      </w:r>
      <w:r>
        <w:t xml:space="preserve"> in the book </w:t>
      </w:r>
      <w:r>
        <w:rPr>
          <w:i/>
        </w:rPr>
        <w:t>On the Holy Spirit</w:t>
      </w:r>
      <w:r>
        <w:t xml:space="preserve">, chapter 29, composed by the holy martyr and left by his disciples like a kind of amulet, when he was about to be burned by fire. Indeed, apart from the similarity of the name, which could have been a trick played by scribes, Athenogenes seems to have flourished in learning and disciples, which fits no less well with the Athenian philosopher. There are no historical records that say Athenagoras suffered for Christ. But just as his writings have almost fallen into oblivion, so his </w:t>
      </w:r>
      <w:r>
        <w:lastRenderedPageBreak/>
        <w:t xml:space="preserve">martyrdom could have been hidden. Nor would I be surprised if he had poured out his life for Christ, since under that emperor, under whom Christians brought forward did not escape the death penalty, he not only dared to bring himself forward but also defended the Christian religion in such a way that, addressing the emperor most addicted to superstition, he compared the holiness of the Christian worship and the pure lives of Christians with the shameful sacrifices and idols of the pagans and their most corrupt life. But, as has been observed regarding the praised passage of Basil, it is more likely that the Athenogenes mentioned by Saint Basil is the one whom the </w:t>
      </w:r>
      <w:r>
        <w:rPr>
          <w:i/>
        </w:rPr>
        <w:t>Martyrologies</w:t>
      </w:r>
      <w:r>
        <w:t xml:space="preserve"> under Diocletian</w:t>
      </w:r>
      <w:r>
        <w:fldChar w:fldCharType="begin"/>
      </w:r>
      <w:r>
        <w:instrText xml:space="preserve"> XE "Diocletian" \f "Persons"</w:instrText>
      </w:r>
      <w:r>
        <w:fldChar w:fldCharType="end"/>
      </w:r>
      <w:r>
        <w:t xml:space="preserve"> testify suffered at Sebaste in Armenia on July 16, along with some others.</w:t>
      </w:r>
    </w:p>
    <w:p w14:paraId="6686AE04" w14:textId="77777777" w:rsidR="005C2B3E" w:rsidRDefault="00000000">
      <w:pPr>
        <w:ind w:firstLine="360"/>
      </w:pPr>
      <w:r>
        <w:t>III. Since there is not enough material to discuss more about the matters of Athenagoras</w:t>
      </w:r>
      <w:r>
        <w:fldChar w:fldCharType="begin"/>
      </w:r>
      <w:r>
        <w:instrText xml:space="preserve"> XE "Athenagoras" \f "Persons"</w:instrText>
      </w:r>
      <w:r>
        <w:fldChar w:fldCharType="end"/>
      </w:r>
      <w:r>
        <w:t xml:space="preserve">, we must come to his writings, of which the most outstanding is the </w:t>
      </w:r>
      <w:r>
        <w:rPr>
          <w:i/>
        </w:rPr>
        <w:t>Legatio</w:t>
      </w:r>
      <w:r>
        <w:t xml:space="preserve">, or </w:t>
      </w:r>
      <w:r>
        <w:rPr>
          <w:i/>
        </w:rPr>
        <w:t>Apology for the Christians</w:t>
      </w:r>
      <w:r>
        <w:t>. Baronius</w:t>
      </w:r>
      <w:r>
        <w:fldChar w:fldCharType="begin"/>
      </w:r>
      <w:r>
        <w:instrText xml:space="preserve"> XE "Baronius" \f "Persons"</w:instrText>
      </w:r>
      <w:r>
        <w:fldChar w:fldCharType="end"/>
      </w:r>
      <w:r>
        <w:t>, Petavius</w:t>
      </w:r>
      <w:r>
        <w:fldChar w:fldCharType="begin"/>
      </w:r>
      <w:r>
        <w:instrText xml:space="preserve"> XE "Petavius" \f "Persons"</w:instrText>
      </w:r>
      <w:r>
        <w:fldChar w:fldCharType="end"/>
      </w:r>
      <w:r>
        <w:t>, and Tillemont believe it was presented to Marcus Aurelius and his son Commodus in the year 177. On the other hand, Labbæus</w:t>
      </w:r>
      <w:r>
        <w:fldChar w:fldCharType="begin"/>
      </w:r>
      <w:r>
        <w:instrText xml:space="preserve"> XE "Labbæus" \f "Persons"</w:instrText>
      </w:r>
      <w:r>
        <w:fldChar w:fldCharType="end"/>
      </w:r>
      <w:r>
        <w:t>, Pagius</w:t>
      </w:r>
      <w:r>
        <w:fldChar w:fldCharType="begin"/>
      </w:r>
      <w:r>
        <w:instrText xml:space="preserve"> XE "Pagius" \f "Persons"</w:instrText>
      </w:r>
      <w:r>
        <w:fldChar w:fldCharType="end"/>
      </w:r>
      <w:r>
        <w:t>, and Dodwell argue that it was addressed to the emperors Marcus Aurelius and Lucius Verus; Dodwell indeed says the year 168, Pagius the year 166. In this variety of opinions, it is not difficult to decide whom to follow. For Baronius’s and Tillemont’s view is clearly shown by these words of Athenagoras: Τίνες γὰρ καὶ δικαιότεροι ὧν δέονται τυχεῖν, ἢ οἵτινες περὶ μὲν τῆς ἀρχῆς τῆς ὑμετέρας εὐχόμεθα, ἵνα παῖς μὲν παρὰ πατρὸς κατὰ τὸ δικαιότατον διαδέχησθε τὴν βασιλείαν, αὔξησιν δὲ καὶ ἐπίδοσιν ἡ ἀρχὴ ὑμῶν, πάντων, ὑποχειρίων γιγνομένων, λαμβάνῃ; “For who are more worthy to obtain what they ask than those who pray for your rule, that the son may succeed the kingdom from the father in the most just way, and that your rule may receive growth and increase, becoming lord of all under your power?” This certainly cannot be referred to Marcus Aurelius and Lucius Verus. Both had been adopted by Antoninus; neither was the father of the other; and it was not just that Lucius should receive the kingdom from Marcus Aurelius, with whom he already ruled equally, but rather that the son of Marcus should one day receive the kingdom from his father.</w:t>
      </w:r>
    </w:p>
    <w:p w14:paraId="57CEB7AD" w14:textId="77777777" w:rsidR="005C2B3E" w:rsidRDefault="00000000">
      <w:pPr>
        <w:ind w:firstLine="360"/>
      </w:pPr>
      <w:r>
        <w:t>To the same opinion these are read, no. 18: Ἕχοιτε ἀφʼ ἑαυτῶν καὶ τὴν ἐπουράνιον βασιλείαν ἐξετάζειν· ὡς γὰρ ὑμῖν πατρὶ καὶ υἱῷ πάντα κεχείρωται, ἄνωθεν τὴν βασιλείαν εἰληφόσιν (</w:t>
      </w:r>
      <w:r>
        <w:rPr>
          <w:b/>
        </w:rPr>
        <w:t>βασιλέως γὰρ ψυχὴ ἐν χειρὶ Θεοῦ</w:t>
      </w:r>
      <w:r>
        <w:t>, φησὶ τὸ προφητικὸν Πνεῦμα), οὕτως ἑνὶ θεῷ καὶ τῷ παρʼ αὐτοῦ Λόγῳ, Υἱῷ νοουμένῳ ἀμερίστῳ, πάντα ὑποτέτακται. “You may also consider the heavenly kingdom from yourselves. For just as everything is entrusted to you, father and son, since you have received the kingdom from above (</w:t>
      </w:r>
      <w:r>
        <w:rPr>
          <w:i/>
        </w:rPr>
        <w:t>For the soul of the king is in the hand of God</w:t>
      </w:r>
      <w:r>
        <w:t>, says the prophetic Spirit), so to one God and to the Word from him, the Son understood as indivisible, all things are subjected.” Certainly a remarkable comparison, if it is about Marcus Aurelius</w:t>
      </w:r>
      <w:r>
        <w:fldChar w:fldCharType="begin"/>
      </w:r>
      <w:r>
        <w:instrText xml:space="preserve"> XE "Marcus Aurelius" \f "Persons"</w:instrText>
      </w:r>
      <w:r>
        <w:fldChar w:fldCharType="end"/>
      </w:r>
      <w:r>
        <w:t xml:space="preserve"> and Commodus</w:t>
      </w:r>
      <w:r>
        <w:fldChar w:fldCharType="begin"/>
      </w:r>
      <w:r>
        <w:instrText xml:space="preserve"> XE "Commodus" \f "Persons"</w:instrText>
      </w:r>
      <w:r>
        <w:fldChar w:fldCharType="end"/>
      </w:r>
      <w:r>
        <w:t>, since Athenagoras</w:t>
      </w:r>
      <w:r>
        <w:fldChar w:fldCharType="begin"/>
      </w:r>
      <w:r>
        <w:instrText xml:space="preserve"> XE "Athenagoras" \f "Persons"</w:instrText>
      </w:r>
      <w:r>
        <w:fldChar w:fldCharType="end"/>
      </w:r>
      <w:r>
        <w:t xml:space="preserve"> especially shows clearly the difference between divine </w:t>
      </w:r>
      <w:r>
        <w:lastRenderedPageBreak/>
        <w:t>and human generation, while he declares that the Son of God cannot be separated from the Father. But it would have been a completely unworthy and absurd comparison if Athenagoras had spoken about Marcus Aurelius and Lucius Verus, whom he could not have been unaware were brothers. And even if he had imagined that Lucius Verus was adopted by Marcus Aurelius, nothing would have conflicted more with his other principles about the Trinity than to compare the eternal Son of God with an adopted son.</w:t>
      </w:r>
    </w:p>
    <w:p w14:paraId="30695B17" w14:textId="77777777" w:rsidR="005C2B3E" w:rsidRDefault="00000000">
      <w:pPr>
        <w:ind w:firstLine="360"/>
      </w:pPr>
      <w:r>
        <w:t xml:space="preserve">Added to this is that the </w:t>
      </w:r>
      <w:r>
        <w:rPr>
          <w:i/>
        </w:rPr>
        <w:t>Oratio</w:t>
      </w:r>
      <w:r>
        <w:t xml:space="preserve"> in all manuscripts is addressed to the emperors </w:t>
      </w:r>
      <w:r>
        <w:rPr>
          <w:i/>
        </w:rPr>
        <w:t>Marcus Aurelius</w:t>
      </w:r>
      <w:r>
        <w:fldChar w:fldCharType="begin"/>
      </w:r>
      <w:r>
        <w:instrText xml:space="preserve"> XE "Marcus Aurelius" \f "Persons"</w:instrText>
      </w:r>
      <w:r>
        <w:fldChar w:fldCharType="end"/>
      </w:r>
      <w:r>
        <w:rPr>
          <w:i/>
        </w:rPr>
        <w:t xml:space="preserve"> Antoninus and Lucius Aurelius Commodus, Armeniac, Sarmatian, and, most importantly, philosopher</w:t>
      </w:r>
      <w:r>
        <w:t>. Furthermore, Lucius, from the time he took the name Verus with the empire, was never called Commodus, except perhaps by Jerome</w:t>
      </w:r>
      <w:r>
        <w:fldChar w:fldCharType="begin"/>
      </w:r>
      <w:r>
        <w:instrText xml:space="preserve"> XE "Jerome" \f "Persons"</w:instrText>
      </w:r>
      <w:r>
        <w:fldChar w:fldCharType="end"/>
      </w:r>
      <w:r>
        <w:t>, not without serious error, which is unworthy of a writer of equal standing. Nor does the surname Sarmaticus fit Lucius Verus, which not even Marcus Aurelius himself took before the year 170 or perhaps even 174. What Athenagoras</w:t>
      </w:r>
      <w:r>
        <w:fldChar w:fldCharType="begin"/>
      </w:r>
      <w:r>
        <w:instrText xml:space="preserve"> XE "Athenagoras" \f "Persons"</w:instrText>
      </w:r>
      <w:r>
        <w:fldChar w:fldCharType="end"/>
      </w:r>
      <w:r>
        <w:t xml:space="preserve"> says about Proteus burning himself περὶ τὴν Ὀλυμπίαν is taken by Dodwell as if it meant the same as “in this Olympiad.” But even if Athenagoras meant the Olympic games by this phrase, he would not have meant the Olympiad in which he was writing; certainly no more than when he says, no. 14, that a murder was committed by Theagenes Ὀλυμπιάσι. Such expressions among the ancients sometimes designate the city itself, sometimes the games with the city. Thus Philostratus</w:t>
      </w:r>
      <w:r>
        <w:fldChar w:fldCharType="begin"/>
      </w:r>
      <w:r>
        <w:instrText xml:space="preserve"> XE "Philostratus" \f "Persons"</w:instrText>
      </w:r>
      <w:r>
        <w:fldChar w:fldCharType="end"/>
      </w:r>
      <w:r>
        <w:t xml:space="preserve">, </w:t>
      </w:r>
      <w:r>
        <w:rPr>
          <w:i/>
        </w:rPr>
        <w:t>Vit. Apol</w:t>
      </w:r>
      <w:r>
        <w:t>, iv, 8: Ὄντων Ὀλυμπίων; chapter 9, ἐν Ὀλυμπίᾳ, κατʼ Ὀλυμπίαν; and chapter 11, μετὰ τὴν Ὀλυμπίαν; Ælianus, book iv, chapter 9, ἐν Ὀλυμπίᾳ; and book ix, chapter 34, εἰς Ὀλύμπια.</w:t>
      </w:r>
    </w:p>
    <w:p w14:paraId="54D842C4" w14:textId="77777777" w:rsidR="005C2B3E" w:rsidRDefault="00000000">
      <w:pPr>
        <w:ind w:firstLine="360"/>
      </w:pPr>
      <w:r>
        <w:t>IV. That this work could not have been written before the year 176 or 177 is proven by the great peace which Athenagoras says reigned throughout the whole world, no. 1. For, as Baronius and Tillemont observe, in the entire reign of Marcus Aurelius you can hardly find any time free from wars except the years 176 and 177.</w:t>
      </w:r>
    </w:p>
    <w:p w14:paraId="07864900" w14:textId="77777777" w:rsidR="005C2B3E" w:rsidRDefault="00000000">
      <w:pPr>
        <w:ind w:firstLine="360"/>
      </w:pPr>
      <w:r>
        <w:t>Tillemont prefers the year 177 because Commodus did not receive the title of emperor, which Athenagoras</w:t>
      </w:r>
      <w:r>
        <w:fldChar w:fldCharType="begin"/>
      </w:r>
      <w:r>
        <w:instrText xml:space="preserve"> XE "Athenagoras" \f "Persons"</w:instrText>
      </w:r>
      <w:r>
        <w:fldChar w:fldCharType="end"/>
      </w:r>
      <w:r>
        <w:t xml:space="preserve"> gives him, before November of the year 176. But since it is clear that the paternal titles were shared with Commodus due to the son’s name and natural right of inheritance, why could the title of emperor not also have been granted to him before he received it by formal decree? Thus, when Athenagoras says: </w:t>
      </w:r>
      <w:r>
        <w:rPr>
          <w:i/>
        </w:rPr>
        <w:t>To you, father and son, all things are entrusted</w:t>
      </w:r>
      <w:r>
        <w:t xml:space="preserve">, he does not mean that Commodus was admitted into the partnership of the empire (for although he was made Augustus in 177, it is not believable that while his father lived he bore many parts of governing affairs), but rather he expresses the affection of the citizens, who joined the son to the father in all obedience and respect. Therefore, the reason given by Tillemont does not seem strong enough to assign this </w:t>
      </w:r>
      <w:r>
        <w:rPr>
          <w:i/>
        </w:rPr>
        <w:t>Apology</w:t>
      </w:r>
      <w:r>
        <w:t xml:space="preserve"> to the year 177. But the necessity of referring it to the year 176 seems imposed by the journey undertaken that year by Marcus </w:t>
      </w:r>
      <w:r>
        <w:lastRenderedPageBreak/>
        <w:t xml:space="preserve">Aurelius to Greece, Syria, and Egypt. For whether Athenagoras lived in Athens, as might be gathered from his title “Athenian philosopher,” or in Alexandria, the presence of the emperor in these places gave a very favorable opportunity for offering the </w:t>
      </w:r>
      <w:r>
        <w:rPr>
          <w:i/>
        </w:rPr>
        <w:t>Apology:</w:t>
      </w:r>
      <w:r>
        <w:t xml:space="preserve"> and I do not think anyone would say that Athenagoras, having missed this occasion, came to Rome the following year to publish this proof of his love for the Church.</w:t>
      </w:r>
    </w:p>
    <w:p w14:paraId="45AB38C7" w14:textId="77777777" w:rsidR="005C2B3E" w:rsidRDefault="00000000">
      <w:pPr>
        <w:ind w:firstLine="360"/>
      </w:pPr>
      <w:r>
        <w:t>“Bælius</w:t>
      </w:r>
      <w:r>
        <w:fldChar w:fldCharType="begin"/>
      </w:r>
      <w:r>
        <w:instrText xml:space="preserve"> XE "Bælius" \f "Persons"</w:instrText>
      </w:r>
      <w:r>
        <w:fldChar w:fldCharType="end"/>
      </w:r>
      <w:r>
        <w:t xml:space="preserve">, in the </w:t>
      </w:r>
      <w:r>
        <w:rPr>
          <w:i/>
        </w:rPr>
        <w:t>Historical Lexicon</w:t>
      </w:r>
      <w:r>
        <w:t xml:space="preserve"> published in French, says Fabricius</w:t>
      </w:r>
      <w:r>
        <w:fldChar w:fldCharType="begin"/>
      </w:r>
      <w:r>
        <w:instrText xml:space="preserve"> XE "Fabricius" \f "Persons"</w:instrText>
      </w:r>
      <w:r>
        <w:fldChar w:fldCharType="end"/>
      </w:r>
      <w:r>
        <w:t xml:space="preserve">, never considers the name of Christians as publicly offered, but only written privately by Athenagoras, just as in France since the year 1684 many, having suffered persecution from the Reformed, wrote and published such petitions and apologies to the king, never offered to the king.” Whoever carefully studies this </w:t>
      </w:r>
      <w:r>
        <w:rPr>
          <w:i/>
        </w:rPr>
        <w:t>Apology</w:t>
      </w:r>
      <w:r>
        <w:t xml:space="preserve"> will admit that this opinion about Athenagoras is unfair. The very title shows that Athenagoras is fulfilling a certain official mission. The whole speech aims to win the emperor’s goodwill toward Christians; it hides that the cause of persecution is the emperor’s hatred of Christians, but says Christians are harassed and killed because the emperor does not protect them with his patronage: at the beginning and the end and in many other places, he lifts the emperor’s praises to the stars with a full hand, and asserts that Christians are attached to him and his household with great zeal and obedience. As many arguments as he uses, he uses just as many occasions to describe the emperor and address him very honorably. Who does not see that the writer, speaking in this way, has the same purpose as Justin</w:t>
      </w:r>
      <w:r>
        <w:fldChar w:fldCharType="begin"/>
      </w:r>
      <w:r>
        <w:instrText xml:space="preserve"> XE "Justin" \f "Persons"</w:instrText>
      </w:r>
      <w:r>
        <w:fldChar w:fldCharType="end"/>
      </w:r>
      <w:r>
        <w:t xml:space="preserve"> and Tatian</w:t>
      </w:r>
      <w:r>
        <w:fldChar w:fldCharType="begin"/>
      </w:r>
      <w:r>
        <w:instrText xml:space="preserve"> XE "Tatian" \f "Persons"</w:instrText>
      </w:r>
      <w:r>
        <w:fldChar w:fldCharType="end"/>
      </w:r>
      <w:r>
        <w:t xml:space="preserve"> in their </w:t>
      </w:r>
      <w:r>
        <w:rPr>
          <w:i/>
        </w:rPr>
        <w:t>Orations against the Greeks</w:t>
      </w:r>
      <w:r>
        <w:t>, Clement</w:t>
      </w:r>
      <w:r>
        <w:fldChar w:fldCharType="begin"/>
      </w:r>
      <w:r>
        <w:instrText xml:space="preserve"> XE "Clement" \f "Persons"</w:instrText>
      </w:r>
      <w:r>
        <w:fldChar w:fldCharType="end"/>
      </w:r>
      <w:r>
        <w:t xml:space="preserve"> in the </w:t>
      </w:r>
      <w:r>
        <w:rPr>
          <w:i/>
        </w:rPr>
        <w:t>Protrepticus</w:t>
      </w:r>
      <w:r>
        <w:t>, Origen</w:t>
      </w:r>
      <w:r>
        <w:fldChar w:fldCharType="begin"/>
      </w:r>
      <w:r>
        <w:instrText xml:space="preserve"> XE "Origen" \f "Persons"</w:instrText>
      </w:r>
      <w:r>
        <w:fldChar w:fldCharType="end"/>
      </w:r>
      <w:r>
        <w:t xml:space="preserve"> in the books </w:t>
      </w:r>
      <w:r>
        <w:rPr>
          <w:i/>
        </w:rPr>
        <w:t>Against Celsus</w:t>
      </w:r>
      <w:r>
        <w:t xml:space="preserve">: not only to show the truth of the Christian religion and expose the errors of the Gentiles, but also especially to obtain an end to persecution? He seems to have set himself to imitate the </w:t>
      </w:r>
      <w:r>
        <w:rPr>
          <w:i/>
        </w:rPr>
        <w:t>Apologies of St. Justin</w:t>
      </w:r>
      <w:r>
        <w:t>, whose example shows that neither atheism can stand with the worship of the Holy Trinity, nor other crimes with the morals and teaching of Christians. He seems to follow Justin as leader when he complains that only the name condemns Christians, no. 2, when he demands that the same form of judgment be applied to them as to other men; when he declares that persecutions come from nothing else but the ancient fight of vice with virtue, no. 3; when he teaches that Christians are to depart from this life to another far better one with God and before God, no. 12; and when he speaks about the fall of angels, no. 24.</w:t>
      </w:r>
    </w:p>
    <w:p w14:paraId="54ADF179" w14:textId="77777777" w:rsidR="005C2B3E" w:rsidRDefault="00000000">
      <w:pPr>
        <w:ind w:firstLine="360"/>
      </w:pPr>
      <w:r>
        <w:t>Athenagoras</w:t>
      </w:r>
      <w:r>
        <w:fldChar w:fldCharType="begin"/>
      </w:r>
      <w:r>
        <w:instrText xml:space="preserve"> XE "Athenagoras" \f "Persons"</w:instrText>
      </w:r>
      <w:r>
        <w:fldChar w:fldCharType="end"/>
      </w:r>
      <w:r>
        <w:t xml:space="preserve"> far surpasses Justin</w:t>
      </w:r>
      <w:r>
        <w:fldChar w:fldCharType="begin"/>
      </w:r>
      <w:r>
        <w:instrText xml:space="preserve"> XE "Justin" \f "Persons"</w:instrText>
      </w:r>
      <w:r>
        <w:fldChar w:fldCharType="end"/>
      </w:r>
      <w:r>
        <w:t xml:space="preserve"> in polished style of speaking, charm of arrangement, and very subtle circumlocutions to win goodwill. For Justin is simpler and more sparing in praise. And if Athenagoras does not repeat as many things from Scripture and the mysteries of Christ as many occur with Justin on these matters, it seems he preferred to prove the uniqueness of God and the foolishness of idol worship from reasoned arguments and to dwell on these, because he hoped this way of arguing would be more pleasing to the emperor’s ears as a philosopher. But while he is </w:t>
      </w:r>
      <w:r>
        <w:lastRenderedPageBreak/>
        <w:t>occupied with these, Petavius</w:t>
      </w:r>
      <w:r>
        <w:fldChar w:fldCharType="begin"/>
      </w:r>
      <w:r>
        <w:instrText xml:space="preserve"> XE "Petavius" \f "Persons"</w:instrText>
      </w:r>
      <w:r>
        <w:fldChar w:fldCharType="end"/>
      </w:r>
      <w:r>
        <w:t xml:space="preserve"> seemed to see (book 1, </w:t>
      </w:r>
      <w:r>
        <w:rPr>
          <w:i/>
        </w:rPr>
        <w:t>On God</w:t>
      </w:r>
      <w:r>
        <w:t>, page 83) that he admits accidents in God. Indeed, he calls the attributes of God τὰ ἐπισυμβεβηκότα, and says that goodness is in God κατὰ συμβεβηκός, but when he reveals his own mind, it does not seem to him that a quarrel should be raised over a word where the meaning is safe. Similar indulgence should be used with Tertullian</w:t>
      </w:r>
      <w:r>
        <w:fldChar w:fldCharType="begin"/>
      </w:r>
      <w:r>
        <w:instrText xml:space="preserve"> XE "Tertullian" \f "Persons"</w:instrText>
      </w:r>
      <w:r>
        <w:fldChar w:fldCharType="end"/>
      </w:r>
      <w:r>
        <w:t xml:space="preserve">, with whom the attributes of God are called appendices in the same sense, book 1 </w:t>
      </w:r>
      <w:r>
        <w:rPr>
          <w:i/>
        </w:rPr>
        <w:t>on Mark</w:t>
      </w:r>
      <w:r>
        <w:t>, chapter 25.</w:t>
      </w:r>
    </w:p>
    <w:p w14:paraId="30159E3A" w14:textId="77777777" w:rsidR="005C2B3E" w:rsidRDefault="00000000">
      <w:pPr>
        <w:ind w:firstLine="360"/>
      </w:pPr>
      <w:r>
        <w:t>V. We can guess that Athenagoras</w:t>
      </w:r>
      <w:r>
        <w:fldChar w:fldCharType="begin"/>
      </w:r>
      <w:r>
        <w:instrText xml:space="preserve"> XE "Athenagoras" \f "Persons"</w:instrText>
      </w:r>
      <w:r>
        <w:fldChar w:fldCharType="end"/>
      </w:r>
      <w:r>
        <w:t xml:space="preserve"> wrote many things from the beginning of the book </w:t>
      </w:r>
      <w:r>
        <w:rPr>
          <w:i/>
        </w:rPr>
        <w:t>On the Resurrection</w:t>
      </w:r>
      <w:r>
        <w:t xml:space="preserve">, where he testifies that </w:t>
      </w:r>
      <w:r>
        <w:rPr>
          <w:i/>
        </w:rPr>
        <w:t>he sometimes puts speeches before the truth for those things that are considered true</w:t>
      </w:r>
      <w:r>
        <w:t xml:space="preserve">, and that he decided to do this in that book. I cannot determine when this work was written; however, the </w:t>
      </w:r>
      <w:r>
        <w:rPr>
          <w:i/>
        </w:rPr>
        <w:t>Apology</w:t>
      </w:r>
      <w:r>
        <w:t xml:space="preserve"> seems to come later, as it ends in such a way that it seems he has not yet taken up the discussion of the resurrection but intends to postpone it to another time. For he says: Ἀλλὰ ἀνακείσθω μὲν ὁ περὶ τῆς ἀναστάσεως λόγος. “But let the discussion about the resurrection be set aside.” Although there is no doubt that this discussion was written, not spoken, he still speaks, no. 23, as if his purpose was </w:t>
      </w:r>
      <w:r>
        <w:rPr>
          <w:i/>
        </w:rPr>
        <w:t>to briefly indicate to those gathered what is to be thought about the resurrection and to adapt the arguments on which this doctrine rests to the ability of the listeners.</w:t>
      </w:r>
      <w:r>
        <w:t xml:space="preserve"> Although the arguments used in this work also strike the heretics themselves, it seems he mainly wanted to refute the philosophers. For whatever is objected by opponents is contained in reasonings; whatever arguments Athenagoras uses, he draws from human nature and the justice of God. Hence, in ii. 3, </w:t>
      </w:r>
      <w:r>
        <w:rPr>
          <w:i/>
        </w:rPr>
        <w:t>formless, as they think</w:t>
      </w:r>
      <w:r>
        <w:t xml:space="preserve">, that is, the philosophers, is called matter. But this does not touch what Catholics derived from Scripture and the mysteries of Christ to prove this doctrine, and heretics used to overturn it. Under the name of Athenagoras appeared in the year 1569 the work </w:t>
      </w:r>
      <w:r>
        <w:rPr>
          <w:i/>
        </w:rPr>
        <w:t>On True and Perfect Love</w:t>
      </w:r>
      <w:r>
        <w:t>, indeed made into French words from the Greek language, but truly fabricated by the impostor translator Fumée, whose mask is excellently removed by Fabricius</w:t>
      </w:r>
      <w:r>
        <w:fldChar w:fldCharType="begin"/>
      </w:r>
      <w:r>
        <w:instrText xml:space="preserve"> XE "Fabricius" \f "Persons"</w:instrText>
      </w:r>
      <w:r>
        <w:fldChar w:fldCharType="end"/>
      </w:r>
      <w:r>
        <w:t xml:space="preserve">, volume V, </w:t>
      </w:r>
      <w:r>
        <w:rPr>
          <w:i/>
        </w:rPr>
        <w:t>Biblioth. Gr</w:t>
      </w:r>
      <w:r>
        <w:t>, p. 88.</w:t>
      </w:r>
    </w:p>
    <w:p w14:paraId="4863E6CB" w14:textId="77777777" w:rsidR="005C2B3E" w:rsidRDefault="00000000">
      <w:pPr>
        <w:ind w:firstLine="360"/>
      </w:pPr>
      <w:r>
        <w:t>Petavius</w:t>
      </w:r>
      <w:r>
        <w:fldChar w:fldCharType="begin"/>
      </w:r>
      <w:r>
        <w:instrText xml:space="preserve"> XE "Petavius" \f "Persons"</w:instrText>
      </w:r>
      <w:r>
        <w:fldChar w:fldCharType="end"/>
      </w:r>
      <w:r>
        <w:t xml:space="preserve"> was displeased because Athenagoras</w:t>
      </w:r>
      <w:r>
        <w:fldChar w:fldCharType="begin"/>
      </w:r>
      <w:r>
        <w:instrText xml:space="preserve"> XE "Athenagoras" \f "Persons"</w:instrText>
      </w:r>
      <w:r>
        <w:fldChar w:fldCharType="end"/>
      </w:r>
      <w:r>
        <w:t xml:space="preserve"> says in this book </w:t>
      </w:r>
      <w:r>
        <w:rPr>
          <w:i/>
        </w:rPr>
        <w:t>On the Resurrection</w:t>
      </w:r>
      <w:r>
        <w:t xml:space="preserve">, no. 11, or at least it seemed so to the most learned theologian, “that God can will what he wants, and that what he wills he can certainly do,” καὶ τὸ δυνατὸν βουλητὸν καὶ τὸ τῷ Θεῷ βουλητὸν πάν τως εἷναι δυνατόν. But no difficulty remains if the passage is carefully examined. For Athenagoras does not say that βουλητόν means what God has decreed to do, but what he can will. Likewise earlier, no. 10, he understands ἀβούλητον as that which God cannot will. He says it is called ἀβούλητον because it is either unjust or unworthy of God. Τὸ γὰρ ἀβούλητον, ἢ ὡς ἄδικον αὐτῷ ἐστιν ἀβούλητον, ἢ ὡς ἀνάξιον. Therefore, I did not hesitate to interpret ἀβούλητον as that which does not fall within God’s will, and βουλητόν as that which he can will. Those whom Athenagoras refutes in this book did not inquire whether God had promised resurrection to humans, but rather argued that it was altogether impossible. </w:t>
      </w:r>
      <w:r>
        <w:lastRenderedPageBreak/>
        <w:t>Therefore, Athenagoras decided that if they were to be unbelievers with some appearance of reason, they should be shown that resurrection either does not fall within God’s power or within his will.</w:t>
      </w:r>
    </w:p>
    <w:p w14:paraId="3B99DDC7" w14:textId="77777777" w:rsidR="005C2B3E" w:rsidRDefault="00000000">
      <w:pPr>
        <w:pStyle w:val="Heading3"/>
      </w:pPr>
      <w:r>
        <w:t>CHAPTER 14</w:t>
      </w:r>
    </w:p>
    <w:p w14:paraId="18DDE194" w14:textId="77777777" w:rsidR="005C2B3E" w:rsidRDefault="00000000">
      <w:pPr>
        <w:pStyle w:val="Heading4"/>
      </w:pPr>
      <w:r>
        <w:t>WHETHER ATHENAGORAS ADHERED TO THE SECT OF MONTANUS</w:t>
      </w:r>
    </w:p>
    <w:p w14:paraId="1323ACC8" w14:textId="77777777" w:rsidR="005C2B3E" w:rsidRDefault="00000000">
      <w:pPr>
        <w:spacing w:before="180" w:after="0"/>
        <w:ind w:left="720" w:right="320" w:hanging="360"/>
      </w:pPr>
      <w:r>
        <w:t>Passages of Athenagoras from which suspicion arose. II. Matters to be judged from the beginnings of the Montanists. III. Many years passed before the schism was formed. IV. Tertullian</w:t>
      </w:r>
      <w:r>
        <w:fldChar w:fldCharType="begin"/>
      </w:r>
      <w:r>
        <w:instrText xml:space="preserve"> XE "Tertullian" \f "Persons"</w:instrText>
      </w:r>
      <w:r>
        <w:fldChar w:fldCharType="end"/>
      </w:r>
      <w:r>
        <w:t xml:space="preserve"> was Montanist before he was schismatic. V. It is difficult to determine at what time the schism was complete. VI. Athenagoras was neither a participant in their schism nor their doctrine. VII. There is no clear argument that he experienced their ecstasies.</w:t>
      </w:r>
    </w:p>
    <w:p w14:paraId="5AA8291B" w14:textId="77777777" w:rsidR="005C2B3E" w:rsidRDefault="00000000">
      <w:r>
        <w:t>I. We must examine a question of no small importance both for the reputation of Athenagoras</w:t>
      </w:r>
      <w:r>
        <w:fldChar w:fldCharType="begin"/>
      </w:r>
      <w:r>
        <w:instrText xml:space="preserve"> XE "Athenagoras" \f "Persons"</w:instrText>
      </w:r>
      <w:r>
        <w:fldChar w:fldCharType="end"/>
      </w:r>
      <w:r>
        <w:t xml:space="preserve"> and for ecclesiastical antiquity. Tillemont, whose fairness in judging ancient matters is no less commendable than his learning in collecting and arranging them, suspects that Athenagoras was a Montanist. “I do not know,” he says, vol. II, p. 350, “whether the passages he applies to the prophets, at the time when the ecstasies of Montanus began to disturb the Church, and the teaching about second marriages, might not give cause for fear that he was involved with those groups.” About the prophets, Athenagoras says thus in </w:t>
      </w:r>
      <w:r>
        <w:rPr>
          <w:i/>
        </w:rPr>
        <w:t>Apology</w:t>
      </w:r>
      <w:r>
        <w:t xml:space="preserve">, no. 9: Οἳ κατʼ ἔκστασιν τῶν ἐν αὐτοῖς λογισμῶν, κινήσαντος αὐτοὺς τοῦ θείου Πνεύματος, ἃ ἐνηργοῦντο ἐξεφώνησαν· συγχρησαμένου τοῦ Πνεύματος ὡσεὶ καὶ αὐλητὴς αὐλὸν ἐμπνεύσαι. “Those who, carried away out of themselves in mind and spirit, driven by the Holy Spirit, spoke what was inspired in them, using the Holy Spirit as a flute player uses a pipe to blow into it.” About second marriages, we have this, no. 33: Οὐ γὰρ μελέτῃ λόγων, ἀλλʼ ἐπιδείξει καὶ διδασκαλίᾳ ἔργων τὰ ἡμέτερα· ἢ οἷός τις ἐτέχθη, μένειν, ἢ ἐφʼ ἑνὶ γάμῳ. Ὁ γὰρ δεύτερος εὐπρεπής ἐστι μοιχεία. Ὃς γὰρ ἃν ἁπολύσῃ, φησὶ, τὴν γυναῖκα αὐτοῦ, καὶ γαμήσῃ ἄλλην, μοιχᾶται· οὕτε ἀπολύειν ἐπιτρέπων ἧς ἔπαυσέ τις τὴν παρθενίαν, οὕτε ἑπιγαμεῖν. Ὁ γὰρ ἀποστερῶν ἑαυτὸν τῆς προτέρας γυναικὸς, καὶ εἱ τέθνηκε, μοιχός ἐστι παρακεκαλυμμένος, παραβαίνων μὲν τὴν χεῖρα τοῦ Θεοῦ, ὅτι ἐν ἀρχῇ ὁ θεὸς ἕνα ἄνδρα ἔπλασε καὶ μίαν γυναῖκα· λύων δὲ τὴν σάρκα πρὸς σάρκα κατὰ τὴν ἕνωσιν πρὸς μίξιν εἰς τοῦ γένους κοινωνίαν. “For our matters are not held by the meditation of words but by the demonstration and teaching of deeds: either one remains as he or she was born, or in one marriage. For a second marriage is proper adultery. For whoever divorces,” he says, “his wife and marries another, commits adultery; neither allowing the one whose virginity has ended to be divorced, nor to marry again. For he who deprives himself of his first wife, even if she has died, is a </w:t>
      </w:r>
      <w:r>
        <w:lastRenderedPageBreak/>
        <w:t xml:space="preserve">hidden adulterer, transgressing the hand of God, since in the beginning God made one man and one woman; and dissolving the flesh-to-flesh union according to the joining for the sharing of the race.” These seem to agree too much with what is read in Tertullian about second marriages. He says that these </w:t>
      </w:r>
      <w:r>
        <w:rPr>
          <w:i/>
        </w:rPr>
        <w:t>nuptial and dowry matters, if perhaps distinguished in the records from the work of adultery and fornication</w:t>
      </w:r>
      <w:r>
        <w:t xml:space="preserve">, are </w:t>
      </w:r>
      <w:r>
        <w:rPr>
          <w:i/>
        </w:rPr>
        <w:t>different</w:t>
      </w:r>
      <w:r>
        <w:t xml:space="preserve"> in </w:t>
      </w:r>
      <w:r>
        <w:rPr>
          <w:i/>
        </w:rPr>
        <w:t>De pudicitia</w:t>
      </w:r>
      <w:r>
        <w:t xml:space="preserve">, chapter 1. Just as repudiation, so also the number of marriages was not observed from the beginning, he notes in </w:t>
      </w:r>
      <w:r>
        <w:rPr>
          <w:i/>
        </w:rPr>
        <w:t>De monogamia</w:t>
      </w:r>
      <w:r>
        <w:t>, chapter 9. Thus he speaks, chapter 14: “Nor did the law abolish repudiation; it had something to remove: a new prophecy about second marriage, no less a repudiation of the first.”</w:t>
      </w:r>
    </w:p>
    <w:p w14:paraId="003DD059" w14:textId="77777777" w:rsidR="005C2B3E" w:rsidRDefault="00000000">
      <w:pPr>
        <w:ind w:firstLine="360"/>
      </w:pPr>
      <w:r>
        <w:t>II. Yet if we consider the steps by which the Montanists came to be condemned by all, we will find no close connection between their open heresy and Athenagoras; indeed, not even as a supporter of those who, in the beginnings, held more moderate views. For Montanus did not immediately come forward imposing fasts like a law, forbidding flight in persecutions, or daring to brand second marriages with the marks of adultery. He managed the matter much more cleverly. The fasts he imposed on those who listened to him were for some occasion or reason, not imposed on the whole Church as a permanent practice returning year after year. “The Holy Spirit,” says Tertullian</w:t>
      </w:r>
      <w:r>
        <w:fldChar w:fldCharType="begin"/>
      </w:r>
      <w:r>
        <w:instrText xml:space="preserve"> XE "Tertullian" \f "Persons"</w:instrText>
      </w:r>
      <w:r>
        <w:fldChar w:fldCharType="end"/>
      </w:r>
      <w:r>
        <w:t xml:space="preserve"> in </w:t>
      </w:r>
      <w:r>
        <w:rPr>
          <w:i/>
        </w:rPr>
        <w:t>De jejunio</w:t>
      </w:r>
      <w:r>
        <w:t xml:space="preserve">, chapter 13, “when he wished to preach in certain lands and through certain persons, by providence of the impending trials, whether ecclesiastical or worldly plagues, by which the Paraclete, that is the advocate, urged the judge to be entreated, entrusted remedies of such duties. For example, now, to exercise the discipline of sobriety and abstinence, we who receive him necessarily observe also what he then established.” Nor did he entirely condemn flight in persecutions. Tertullian testifies that he encouraged martyrdom; he does not dare to say that flight was completely forbidden by him. “If you consult the Spirit,” he says, “what more does the Spirit prove by that speech? He exhorts almost all to martyrdom.” This is in his book </w:t>
      </w:r>
      <w:r>
        <w:rPr>
          <w:i/>
        </w:rPr>
        <w:t>De fuga</w:t>
      </w:r>
      <w:r>
        <w:t xml:space="preserve">, chapter 9, where he also reports two testimonies of Montanus, which encourage martyrdom but do not condemn flight. The Montanists forbade second marriages, a new and indeed unheard-of boldness, but still in the beginnings so moderately that they did not hesitate to communicate in the Church. How they behaved in this matter can be seen from their way of acting in other matters. I do not know how it came about that in some Churches a custom contrary to the Apostle’s command was introduced, so that virgins would remove their veil in church. Virgins devoted to new prophecies kept the veil, but they were not troublesome to others who lacked the veil; until these obtained that this distinction, which burned them, be removed. Tertullian explains the matter thus in </w:t>
      </w:r>
      <w:r>
        <w:rPr>
          <w:i/>
        </w:rPr>
        <w:t>De velatione virginum</w:t>
      </w:r>
      <w:r>
        <w:t xml:space="preserve">, chapter 3: “Until recently, both customs were tolerably shared among us. It was a matter left to choice, so that each might wish either to be covered or uncovered, as also to marry: which is neither forced nor forbidden. The truth was content to make peace with </w:t>
      </w:r>
      <w:r>
        <w:lastRenderedPageBreak/>
        <w:t>custom, so that under the name of custom one might quietly enjoy it wholly or in part; but since recognition began to advance, so that through the license of either custom a sign of the better part might emerge, immediately that adversary of good things and much of the established order did his work. Virgins of men surround the virgins of God, plainly roused to reckless boldness with naked front.… We are scandalized, they say, because others walk differently.… Why do these not rather complain that the scandal to themselves is the boldness, the shamelessness of the display of virginity?”</w:t>
      </w:r>
    </w:p>
    <w:p w14:paraId="5E6E8A25" w14:textId="77777777" w:rsidR="005C2B3E" w:rsidRDefault="00000000">
      <w:pPr>
        <w:ind w:firstLine="360"/>
      </w:pPr>
      <w:r>
        <w:t>That Montanus at first disguised his heresy with some tincture of leniency is also shown by the fact that the opinions of Catholics about his prophecies were various and conflicting. For when he began to claim the office and name of prophet, many, according to Eusebius</w:t>
      </w:r>
      <w:r>
        <w:fldChar w:fldCharType="begin"/>
      </w:r>
      <w:r>
        <w:instrText xml:space="preserve"> XE "Eusebius" \f "Persons"</w:instrText>
      </w:r>
      <w:r>
        <w:fldChar w:fldCharType="end"/>
      </w:r>
      <w:r>
        <w:t>, believed that he was endowed with such gifts, which at that time were not rare in the Church. But if he had immediately uttered what he later poured out, there could have been no room for doubt among Catholics. The delay in his anathema was not caused by the ecstasies, if he had openly declared himself at once, as Tertullian</w:t>
      </w:r>
      <w:r>
        <w:fldChar w:fldCharType="begin"/>
      </w:r>
      <w:r>
        <w:instrText xml:space="preserve"> XE "Tertullian" \f "Persons"</w:instrText>
      </w:r>
      <w:r>
        <w:fldChar w:fldCharType="end"/>
      </w:r>
      <w:r>
        <w:t xml:space="preserve"> reports was said by him or his women in </w:t>
      </w:r>
      <w:r>
        <w:rPr>
          <w:i/>
        </w:rPr>
        <w:t>De pudicitia</w:t>
      </w:r>
      <w:r>
        <w:t>, chapter 21: “The Church can forgive a fault; but I will not allow others to sin also.”</w:t>
      </w:r>
    </w:p>
    <w:p w14:paraId="51B6A6E7" w14:textId="77777777" w:rsidR="005C2B3E" w:rsidRDefault="00000000">
      <w:pPr>
        <w:ind w:firstLine="360"/>
      </w:pPr>
      <w:r>
        <w:t>III. It is worth noting that many years passed from the beginning of the sect before the Montanists either ceased to be tolerated or voluntarily separated themselves from all Churches. In the year 177, that is, six years from the beginning of the sect, the confessors of Lyon and Vienne, either consulted by the brothers of Asia and Phrygia about this dissension, or moved by their own charity, “partly to the brothers living in Asia and Phrygia,” says Eusebius</w:t>
      </w:r>
      <w:r>
        <w:fldChar w:fldCharType="begin"/>
      </w:r>
      <w:r>
        <w:instrText xml:space="preserve"> XE "Eusebius" \f "Persons"</w:instrText>
      </w:r>
      <w:r>
        <w:fldChar w:fldCharType="end"/>
      </w:r>
      <w:r>
        <w:t xml:space="preserve">, </w:t>
      </w:r>
      <w:r>
        <w:rPr>
          <w:i/>
        </w:rPr>
        <w:t>Hist.</w:t>
      </w:r>
      <w:r>
        <w:t>, book 5, chapter 3, “partly to Eleutherus, bishop of the city of Rome, wrote, acting as a kind of delegation for the peace of the Churches.” There was no schism here, but a strong dissension, for which hope of calming it was shining.</w:t>
      </w:r>
    </w:p>
    <w:p w14:paraId="672DBEA3" w14:textId="77777777" w:rsidR="005C2B3E" w:rsidRDefault="00000000">
      <w:pPr>
        <w:ind w:firstLine="360"/>
      </w:pPr>
      <w:r>
        <w:t>The Montanists tried to gain the communion and approval of three Roman pontiffs, but they wasted their effort. We learn this from these words of Tertullian</w:t>
      </w:r>
      <w:r>
        <w:fldChar w:fldCharType="begin"/>
      </w:r>
      <w:r>
        <w:instrText xml:space="preserve"> XE "Tertullian" \f "Persons"</w:instrText>
      </w:r>
      <w:r>
        <w:fldChar w:fldCharType="end"/>
      </w:r>
      <w:r>
        <w:t xml:space="preserve"> in </w:t>
      </w:r>
      <w:r>
        <w:rPr>
          <w:i/>
        </w:rPr>
        <w:t>Contra Praxean</w:t>
      </w:r>
      <w:r>
        <w:t>, chapter 1: “The same (Praxeas) then forced the bishop of Rome, who already recognized the prophecies of Montanus, Prisca, Maximilla, and from that recognition brought peace to the Churches of Asia and Phrygia, by asserting falsehoods about those prophets and their Churches, and defending the authorities of his predecessors, to revoke the letters of peace already sent, and to withdraw from the plan of receiving charisms.” The predecessors of this pontiff, who was almost deceived by the Montanists, can only be Soter</w:t>
      </w:r>
      <w:r>
        <w:fldChar w:fldCharType="begin"/>
      </w:r>
      <w:r>
        <w:instrText xml:space="preserve"> XE "Soter" \f "Persons"</w:instrText>
      </w:r>
      <w:r>
        <w:fldChar w:fldCharType="end"/>
      </w:r>
      <w:r>
        <w:t>, under whom the sect appeared, and Eleutherus</w:t>
      </w:r>
      <w:r>
        <w:fldChar w:fldCharType="begin"/>
      </w:r>
      <w:r>
        <w:instrText xml:space="preserve"> XE "Eleutherus" \f "Persons"</w:instrText>
      </w:r>
      <w:r>
        <w:fldChar w:fldCharType="end"/>
      </w:r>
      <w:r>
        <w:t>, whom Victor</w:t>
      </w:r>
      <w:r>
        <w:fldChar w:fldCharType="begin"/>
      </w:r>
      <w:r>
        <w:instrText xml:space="preserve"> XE "Victor" \f "Persons"</w:instrText>
      </w:r>
      <w:r>
        <w:fldChar w:fldCharType="end"/>
      </w:r>
      <w:r>
        <w:t xml:space="preserve"> succeeded in the year 192. Therefore, under Victor ruling the Church of Rome, or at least in the early years of that pontificate, that is, twenty years or more after the beginnings of Montanus, the Montanists had not yet separated from the Church, nor had they been expelled from it. It is likely that proud men did not bear </w:t>
      </w:r>
      <w:r>
        <w:lastRenderedPageBreak/>
        <w:t>this rejection patiently; yet many years passed from this event before the schism openly and clearly broke out. For Tertullian, who likely was in Rome when these things happened, became a Montanist in that city, if we trust Jerome</w:t>
      </w:r>
      <w:r>
        <w:fldChar w:fldCharType="begin"/>
      </w:r>
      <w:r>
        <w:instrText xml:space="preserve"> XE "Jerome" \f "Persons"</w:instrText>
      </w:r>
      <w:r>
        <w:fldChar w:fldCharType="end"/>
      </w:r>
      <w:r>
        <w:t xml:space="preserve">, who does not seem to deny this in this matter. Jerome, in the book </w:t>
      </w:r>
      <w:r>
        <w:rPr>
          <w:i/>
        </w:rPr>
        <w:t>De scripturis ecclesiasticis</w:t>
      </w:r>
      <w:r>
        <w:t xml:space="preserve">, tells that Tertullian “fell into the doctrine of Montanus through envy and insults of the clergy of the Church of Rome.” However, he returned to Africa not yet schismatic: for he was still mingled with the Catholics, and while they listened to Praxeas, who had come from Italy to Africa and was spreading his error there, he broke and refuted him, and forced the heresy to swear; then finally the schism was formed. He himself tells the whole matter thus, chapter 1 of </w:t>
      </w:r>
      <w:r>
        <w:rPr>
          <w:i/>
        </w:rPr>
        <w:t>Contra Praxean</w:t>
      </w:r>
      <w:r>
        <w:t>: “The tares of Praxeas had grown, here also sown over, while many slept in the simplicity of doctrine; then, through whom God willed, they seemed even uprooted. Finally, the former teacher had guarded against his correction: and the document remains with the psychics, among whom the matter then happened: from then silence. And indeed afterward the recognition of the Paraclete and defense separated us from the psychics.” Tertullian’s way of speaking is precise: it was not the mere recognition of a false Paraclete, but especially the defense that separated him from the Catholics. Clearly, he had recognized before he defended schismatically.</w:t>
      </w:r>
    </w:p>
    <w:p w14:paraId="60F7616F" w14:textId="77777777" w:rsidR="005C2B3E" w:rsidRDefault="00000000">
      <w:pPr>
        <w:ind w:firstLine="360"/>
      </w:pPr>
      <w:r>
        <w:t>IV</w:t>
      </w:r>
      <w:r>
        <w:fldChar w:fldCharType="begin"/>
      </w:r>
      <w:r>
        <w:instrText xml:space="preserve"> XE "IV" \f "Persons"</w:instrText>
      </w:r>
      <w:r>
        <w:fldChar w:fldCharType="end"/>
      </w:r>
      <w:r>
        <w:t>. Tertullian</w:t>
      </w:r>
      <w:r>
        <w:fldChar w:fldCharType="begin"/>
      </w:r>
      <w:r>
        <w:instrText xml:space="preserve"> XE "Tertullian" \f "Persons"</w:instrText>
      </w:r>
      <w:r>
        <w:fldChar w:fldCharType="end"/>
      </w:r>
      <w:r>
        <w:t xml:space="preserve"> did not immediately become a Montanist, and the book </w:t>
      </w:r>
      <w:r>
        <w:rPr>
          <w:i/>
        </w:rPr>
        <w:t>De velandis virginibus</w:t>
      </w:r>
      <w:r>
        <w:t xml:space="preserve"> bears witness that he had not yet left the external communion of the Church. The occasion for writing this book, as we have already seen, arose from a dissension between Montanist and Catholic virgins in the same churches and under the same pastors. It was necessary that both groups met in the same churches and obeyed the same authority; since some virgins did not veil themselves, others, their companions, were offended by veiling, and therefore they acted before those who held authority to have the veil removed. The whole matter was handled within the Church, and Tertullian had not yet separated from it. “Among us, until very recently, both shared the same custom.” Indeed, in this book he opposes his adversaries with the foreign churches, declaring that both he and his opponents were joined in communion with them. “We cannot,” he says, chapter 2, “reject a custom which we cannot condemn, especially since it is not foreign, because it is not of strangers, with whom we share the right of peace and the name of brotherhood. One faith is ours and theirs, one God, one Christ, the same hope, the same sacraments of baptism. I will say once for all: we are one Church.” How different these are from the impious and disgraceful insults which Tertullian later poured out into the Church without any measure or counsel; as when he says in the book </w:t>
      </w:r>
      <w:r>
        <w:rPr>
          <w:i/>
        </w:rPr>
        <w:t>De pudicitia</w:t>
      </w:r>
      <w:r>
        <w:t xml:space="preserve">, chapter 1: “Therefore, there will also be here a charge against the psychics, against the fellowship of my own opinion with them, so that they may more easily object this to me as a sign of frivolity. The rejection of fellowship is never a prejudice against sin, as if it were not easier to err with many, when truth is </w:t>
      </w:r>
      <w:r>
        <w:lastRenderedPageBreak/>
        <w:t>loved with few.” He says that the Shepherd’s Scripture is counted among the apocrypha, “by every council of the Churches, even yours,” he says, addressing the Catholics. He denies that the Holy Spirit is in the Catholics because they do not recognize him in Montanus</w:t>
      </w:r>
      <w:r>
        <w:fldChar w:fldCharType="begin"/>
      </w:r>
      <w:r>
        <w:instrText xml:space="preserve"> XE "Montanus" \f "Persons"</w:instrText>
      </w:r>
      <w:r>
        <w:fldChar w:fldCharType="end"/>
      </w:r>
      <w:r>
        <w:t>. “Therefore,” he says, “those who received another Paraclete in the apostles and through the apostles, whom they neither recognized in their own prophets nor now possess in the apostles, come now and teach by apostolic authority that the stains of the flesh sprinkled after baptism can be washed away by repentance.” And chapter 21: “What now to the Church, and indeed your psychic one?”</w:t>
      </w:r>
    </w:p>
    <w:p w14:paraId="0D61C096" w14:textId="77777777" w:rsidR="005C2B3E" w:rsidRDefault="00000000">
      <w:pPr>
        <w:ind w:firstLine="360"/>
      </w:pPr>
      <w:r>
        <w:t>Tillemont, who thinks that the Montanists were a sect cut off from the Church before Tertullian</w:t>
      </w:r>
      <w:r>
        <w:fldChar w:fldCharType="begin"/>
      </w:r>
      <w:r>
        <w:instrText xml:space="preserve"> XE "Tertullian" \f "Persons"</w:instrText>
      </w:r>
      <w:r>
        <w:fldChar w:fldCharType="end"/>
      </w:r>
      <w:r>
        <w:t xml:space="preserve"> gave them that name, took this opinion from these words in the book </w:t>
      </w:r>
      <w:r>
        <w:rPr>
          <w:i/>
        </w:rPr>
        <w:t>De fuga</w:t>
      </w:r>
      <w:r>
        <w:t xml:space="preserve">: “For you say that since we meet disorderly, we meet together and many gather in the Church; we are sought by the nations and we fear lest the nations be disturbed,” chapter 3. This very learned man thought that the gatherings of the Montanists were being described here; but Tertullian introduces the Catholics themselves, from whom he had been consulted, saying these things and giving this reason why one must flee and avoid assemblies, because if Christians attend the usual gatherings, this crowd would easily be noticed by the Gentiles. Hence Tertullian adds: “Do you not know that God is the Lord of all? And if God wills, then you will suffer persecution; but if he does not will, then the nations will be silent.” From this he is also the author of the advice given to the one consulting him, that if one cannot meet during the day, at least meet at night and with a few, if it is not allowed with a multitude. “Finally, if you cannot gather during the day, you have the night bright with the light of Christ against it. You cannot go through each one; let the Church be with you even in three.” Therefore, in this book, in which he calls upon his Paraclete and is so addicted to the madness of Montanus that he thinks it better to endure torture than to flee, he still respected church assemblies and thought Christ presided over them. For </w:t>
      </w:r>
      <w:r>
        <w:rPr>
          <w:i/>
        </w:rPr>
        <w:t>Church in three</w:t>
      </w:r>
      <w:r>
        <w:t xml:space="preserve"> here means nothing else but the assembly of the faithful, in whom the Holy Spirit dwells, even if they are few. Add to this Fabius</w:t>
      </w:r>
      <w:r>
        <w:fldChar w:fldCharType="begin"/>
      </w:r>
      <w:r>
        <w:instrText xml:space="preserve"> XE "Fabius" \f "Persons"</w:instrText>
      </w:r>
      <w:r>
        <w:fldChar w:fldCharType="end"/>
      </w:r>
      <w:r>
        <w:t>, who consulted Tertullian, was a Catholic; nor are the psychics called Catholics in this book: he only blames them because they must cling to many things and be uncertain, since they do not receive the oracles of the Paraclete. “But the examination must be sought with you, if perhaps by not receiving the Paraclete, the guide of all truth, you have rightly also been subject to other questions,” chapter 1. Nor should the honorable mention of Saint Rutilius the martyr in this book be passed over, whom Tertullian calls a most holy martyr in chapter 5, although “he had fled persecution many times from place to place, and even, as he thought, redeemed the danger with money.”</w:t>
      </w:r>
    </w:p>
    <w:p w14:paraId="7A25E520" w14:textId="77777777" w:rsidR="005C2B3E" w:rsidRDefault="00000000">
      <w:pPr>
        <w:ind w:firstLine="360"/>
      </w:pPr>
      <w:r>
        <w:t xml:space="preserve">From these things can also be refuted those who reject the charge of heresy against Tertullian, because he seems to retain unity even as a Montanist, and those who think </w:t>
      </w:r>
      <w:r>
        <w:lastRenderedPageBreak/>
        <w:t>that his principles about authority and unity are of no weight, because they believe he already spoke as a schismatic. Both are seriously mistaken. He will not be innocent and pure from the charge of schism simply because he fell into this very sad ruin by certain steps. The signs of unity retained for a time are weighed down, not defended, when compared with the later clear marks of schism. But by what arguments he demonstrated the unity and infallibility of the Church, and whether he ought to have taken away their weight and importance because of the schism that followed.</w:t>
      </w:r>
    </w:p>
    <w:p w14:paraId="1AD3E407" w14:textId="77777777" w:rsidR="005C2B3E" w:rsidRDefault="00000000">
      <w:pPr>
        <w:ind w:firstLine="360"/>
      </w:pPr>
      <w:r>
        <w:t>It must not be concealed that Tertullian</w:t>
      </w:r>
      <w:r>
        <w:fldChar w:fldCharType="begin"/>
      </w:r>
      <w:r>
        <w:instrText xml:space="preserve"> XE "Tertullian" \f "Persons"</w:instrText>
      </w:r>
      <w:r>
        <w:fldChar w:fldCharType="end"/>
      </w:r>
      <w:r>
        <w:t xml:space="preserve">, even in the books he wrote as a schismatic, used the apostolic authority of the Church to refute heretics. “I am accustomed,” he says, book 5, </w:t>
      </w:r>
      <w:r>
        <w:rPr>
          <w:i/>
        </w:rPr>
        <w:t>against Marcion</w:t>
      </w:r>
      <w:r>
        <w:t xml:space="preserve">, chapter 19, in the preface against all heresies, “to fix a summary from the testimony of the times, claiming our earlier rule against every later heresy.” The same argument appears in book 1, chapter 1; book 4, chapter 4; and </w:t>
      </w:r>
      <w:r>
        <w:rPr>
          <w:i/>
        </w:rPr>
        <w:t>against Praxeas</w:t>
      </w:r>
      <w:r>
        <w:t xml:space="preserve">, chapter 2. And indeed, in these places he objects to heretics by appealing to the authority of the apostolic Churches; but by no means, as in those writings before the schism, does he boast that he is joined in communion with those Churches, nor does he preach one Church with the right of peace and unity. He gladly used the argument of prescription, because he thought that nothing of the Montanist sect was harmed by it, since they retained the ancient faith of the symbol; he thought it necessary that “whoever is a heretic about God before, is so then about the institution.” He said that the controversy was about the Paraclete, and for this reason new prophecies were rejected, “not because Montanus and Priscilla and Maximilla preach another God, nor because they dissolve Jesus Christ, nor because they overturn any rule of faith or hope: but because they plainly teach to fast more often than to marry.” But Tertullian had not cast aside his modesty so much as to attribute to himself communion with the apostolic Churches even in the schism itself. About the consensus of the universal Church against the Montanists, he judged as if a few were fighting with many, and not rather a small sect with the whole Church. “The rejection of fellowship,” he says, “is never a prejudice against sin, as if it were not easier to err with many, when truth is loved with few.” But in the book </w:t>
      </w:r>
      <w:r>
        <w:rPr>
          <w:i/>
        </w:rPr>
        <w:t>On Prescription</w:t>
      </w:r>
      <w:r>
        <w:t xml:space="preserve">, he condemned the Montanists, who had abandoned the apostolic teaching about second marriages, about penance, indeed even about the authority of the Church, just as he did others, with this most excellent sentence: “Suppose now all have erred. Is it likely that so many and such great ones have erred into one faith?” In this most excellent book many other things occur that are completely opposed to those which Tertullian, already a Montanist though not yet a schismatic, taught: above all, that which he clearly proves in the book </w:t>
      </w:r>
      <w:r>
        <w:rPr>
          <w:i/>
        </w:rPr>
        <w:t>On Prescription</w:t>
      </w:r>
      <w:r>
        <w:t xml:space="preserve">, that Catholics have nothing left to seek, since they have found the truth, or at least must seek it in the Church and from the brothers. But in the book </w:t>
      </w:r>
      <w:r>
        <w:rPr>
          <w:i/>
        </w:rPr>
        <w:t>On Veiling Virgins</w:t>
      </w:r>
      <w:r>
        <w:t xml:space="preserve"> he attributed all authority to the invention of the Paraclete in resolving questions, and in the book </w:t>
      </w:r>
      <w:r>
        <w:rPr>
          <w:i/>
        </w:rPr>
        <w:t>On Flight</w:t>
      </w:r>
      <w:r>
        <w:t xml:space="preserve"> he declares that Catholics </w:t>
      </w:r>
      <w:r>
        <w:lastRenderedPageBreak/>
        <w:t xml:space="preserve">are subject to many questions because they do not receive “the Paraclete, the guide of all truth.” Therefore, it may be established that the book </w:t>
      </w:r>
      <w:r>
        <w:rPr>
          <w:i/>
        </w:rPr>
        <w:t>On Prescriptions</w:t>
      </w:r>
      <w:r>
        <w:t xml:space="preserve"> was written not only before the schism, but also before the dreams of Montanus were adopted.</w:t>
      </w:r>
    </w:p>
    <w:p w14:paraId="4DDFAD7E" w14:textId="77777777" w:rsidR="005C2B3E" w:rsidRDefault="00000000">
      <w:pPr>
        <w:ind w:firstLine="360"/>
      </w:pPr>
      <w:r>
        <w:t>V. Much light would be added to this question if we could determine in which year the Montanists completely broke away from the Church. The schism was already fully formed when Tertullian</w:t>
      </w:r>
      <w:r>
        <w:fldChar w:fldCharType="begin"/>
      </w:r>
      <w:r>
        <w:instrText xml:space="preserve"> XE "Tertullian" \f "Persons"</w:instrText>
      </w:r>
      <w:r>
        <w:fldChar w:fldCharType="end"/>
      </w:r>
      <w:r>
        <w:t xml:space="preserve"> wrote the fourth book against Marcion, that is, in the fifteenth year of Emperor Severus, as he himself states. There he declares that there was a controversy between the Montanists and the psychics about ecstasy, chapter 22. This is confirmed by Saint Clement</w:t>
      </w:r>
      <w:r>
        <w:fldChar w:fldCharType="begin"/>
      </w:r>
      <w:r>
        <w:instrText xml:space="preserve"> XE "Clement" \f "Persons"</w:instrText>
      </w:r>
      <w:r>
        <w:fldChar w:fldCharType="end"/>
      </w:r>
      <w:r>
        <w:t xml:space="preserve"> of Alexandria</w:t>
      </w:r>
      <w:r>
        <w:fldChar w:fldCharType="begin"/>
      </w:r>
      <w:r>
        <w:instrText xml:space="preserve"> XE "Clement of Alexandria" \f "Persons"</w:instrText>
      </w:r>
      <w:r>
        <w:fldChar w:fldCharType="end"/>
      </w:r>
      <w:r>
        <w:t xml:space="preserve">, who wrote under the same emperor. For when he composed the fourth book of the </w:t>
      </w:r>
      <w:r>
        <w:rPr>
          <w:i/>
        </w:rPr>
        <w:t>Stromata</w:t>
      </w:r>
      <w:r>
        <w:t xml:space="preserve">, Catholics began to call the Montanist psychics. Thus Clement says about them, p. 511: Ἥδη γὰρ καὶ οὖτοι (Φρύγες) τοὺς τῇ νέᾳ προφητείᾳ μὴ προσέχοντας ψυχικοὺς καλοῦσι. “For now even those (the Phrygians) call those who do not pay attention to the new prophecy psychics.” The same in </w:t>
      </w:r>
      <w:r>
        <w:rPr>
          <w:i/>
        </w:rPr>
        <w:t>Strom</w:t>
      </w:r>
      <w:r>
        <w:t>, vii, p. 765, calls the Montanist heresy named after the people. An ancient writer testifies in Eusebius</w:t>
      </w:r>
      <w:r>
        <w:fldChar w:fldCharType="begin"/>
      </w:r>
      <w:r>
        <w:instrText xml:space="preserve"> XE "Eusebius" \f "Persons"</w:instrText>
      </w:r>
      <w:r>
        <w:fldChar w:fldCharType="end"/>
      </w:r>
      <w:r>
        <w:t xml:space="preserve">, </w:t>
      </w:r>
      <w:r>
        <w:rPr>
          <w:i/>
        </w:rPr>
        <w:t>Hist</w:t>
      </w:r>
      <w:r>
        <w:t>, v, 16, that the Montanists were condemned and excommunicated in many councils of Asia; but he does not at all state when these councils were held. It could have happened that in some Churches they were condemned sooner, in others later.</w:t>
      </w:r>
    </w:p>
    <w:p w14:paraId="190FA985" w14:textId="77777777" w:rsidR="005C2B3E" w:rsidRDefault="00000000">
      <w:pPr>
        <w:ind w:firstLine="360"/>
      </w:pPr>
      <w:r>
        <w:t>Irenaeus</w:t>
      </w:r>
      <w:r>
        <w:fldChar w:fldCharType="begin"/>
      </w:r>
      <w:r>
        <w:instrText xml:space="preserve"> XE "Irenaeus" \f "Persons"</w:instrText>
      </w:r>
      <w:r>
        <w:fldChar w:fldCharType="end"/>
      </w:r>
      <w:r>
        <w:t xml:space="preserve"> calls those false prophets and excellently depicts them as arrogating to themselves the marks of prophecy without prophetic grace, book 4, chapter 33, number 6. But he does not say that the crime of schism was joined to false prophecy by them. It would not, however, be doubtful that they were then schismatics if that statement of Irenaeus had been said about them: “Others, indeed, so that they may frustrate the gift of the Spirit, which in the last times was poured out upon the human race according to the will of the Father, do not admit that appearance which is according to the Gospel of John</w:t>
      </w:r>
      <w:r>
        <w:fldChar w:fldCharType="begin"/>
      </w:r>
      <w:r>
        <w:instrText xml:space="preserve"> XE "John" \f "Persons"</w:instrText>
      </w:r>
      <w:r>
        <w:fldChar w:fldCharType="end"/>
      </w:r>
      <w:r>
        <w:t xml:space="preserve">, in which the Lord promised that He would send the Paraclete; but at the same time they reject both the Gospel and the prophetic Spirit.” I am surprised that learned men like Tillemont and the author of the latest edition thought that Irenaeus was speaking about the Montanists. For how could they have rejected the Gospel of Saint John concerning the sending of the Holy Spirit, when it is clear that in those places of John, where the Spirit is promised, they established the chief support of their sect? What follows confirms that Irenaeus does not speak about the Montanists, although it increases the difficulty of recognizing whom he especially attacks. For he adds: “Truly unhappy are those who want to be false prophets but reject the prophetic grace from the Church; suffering similar things to those who, because of those who come in hypocrisy, even abstain from the communion of the brothers. It is to be understood that such do not receive even the Apostle Paul.” From these words we learn that some existed who removed themselves from communion so as not to associate with hypocrites. He compares these with those who rejected the Gospel of </w:t>
      </w:r>
      <w:r>
        <w:lastRenderedPageBreak/>
        <w:t>Saint John, because in this Gospel above all the Holy Spirit is promised. Both therefore sinned in the thoughtless hatred of those who abuse holy things; and just as those who withdrew from communion behaved so because they were more than reasonably hostile to those communing with hypocrites, so it is necessary to say that those who rejected the Gospel of John and the promise of the Holy Spirit did so because of those who abused the Gospel and the promise. Therefore, it should not be said that the Montanists rejected the Gospel of Saint John, but rather that, while they abused it to defend their cause, they gave their immoderate opponents an occasion to reject it.</w:t>
      </w:r>
    </w:p>
    <w:p w14:paraId="08E718A1" w14:textId="77777777" w:rsidR="005C2B3E" w:rsidRDefault="00000000">
      <w:pPr>
        <w:ind w:firstLine="360"/>
      </w:pPr>
      <w:r>
        <w:t>If we cannot determine more precisely at what time the Montanists became schismatics, at least this can be asserted, with Athenagoras</w:t>
      </w:r>
      <w:r>
        <w:fldChar w:fldCharType="begin"/>
      </w:r>
      <w:r>
        <w:instrText xml:space="preserve"> XE "Athenagoras" \f "Persons"</w:instrText>
      </w:r>
      <w:r>
        <w:fldChar w:fldCharType="end"/>
      </w:r>
      <w:r>
        <w:t xml:space="preserve"> writing the </w:t>
      </w:r>
      <w:r>
        <w:rPr>
          <w:i/>
        </w:rPr>
        <w:t>Apology</w:t>
      </w:r>
      <w:r>
        <w:t xml:space="preserve"> and many years later, that they had not yet separated from the Catholic Church.</w:t>
      </w:r>
    </w:p>
    <w:p w14:paraId="24A88CA4" w14:textId="77777777" w:rsidR="005C2B3E" w:rsidRDefault="00000000">
      <w:pPr>
        <w:ind w:firstLine="360"/>
      </w:pPr>
      <w:r>
        <w:t>VI. I have tried to examine these matters carefully so that we may know what to say about the faith of Athenagoras</w:t>
      </w:r>
      <w:r>
        <w:fldChar w:fldCharType="begin"/>
      </w:r>
      <w:r>
        <w:instrText xml:space="preserve"> XE "Athenagoras" \f "Persons"</w:instrText>
      </w:r>
      <w:r>
        <w:fldChar w:fldCharType="end"/>
      </w:r>
      <w:r>
        <w:t>. First, we can certainly assert that he did not condemn second marriages. For how could he have condemned those which not even Montanus</w:t>
      </w:r>
      <w:r>
        <w:fldChar w:fldCharType="begin"/>
      </w:r>
      <w:r>
        <w:instrText xml:space="preserve"> XE "Montanus" \f "Persons"</w:instrText>
      </w:r>
      <w:r>
        <w:fldChar w:fldCharType="end"/>
      </w:r>
      <w:r>
        <w:t xml:space="preserve"> dared to condemn at that time? Second, even if Athenagoras had sided with Montanus, the stain of schism should not be attached to that name, since in the year 176 when he was writing, and many years afterward, the Montanists had not yet reached that final crime of schism. Third, it is not even likely that Athenagoras was connected with Montanus by any association or agreement in doctrine. For what he decided about second marriages he deduces subtly from the words of Christ, “Whoever divorces his wife and marries another commits adultery”; but the authority of the new prophecy never came to his mind. And here the disagreement with the Montanists is clear. For they did not admit that only one marriage was prescribed by Christ or the apostles, but said it was prescribed by the Paraclete, whom they claimed was given by Christ to Montanus, Priscilla, and Maximilla, “because human weakness could not grasp everything at once, the discipline was to be gradually directed, ordered, and brought to perfection by that vicar of the Lord, the Holy Spirit,” Tertullian</w:t>
      </w:r>
      <w:r>
        <w:fldChar w:fldCharType="begin"/>
      </w:r>
      <w:r>
        <w:instrText xml:space="preserve"> XE "Tertullian" \f "Persons"</w:instrText>
      </w:r>
      <w:r>
        <w:fldChar w:fldCharType="end"/>
      </w:r>
      <w:r>
        <w:t xml:space="preserve">, </w:t>
      </w:r>
      <w:r>
        <w:rPr>
          <w:i/>
        </w:rPr>
        <w:t>On the Veil of Virgins</w:t>
      </w:r>
      <w:r>
        <w:t>, chapter 1. Athenagoras indicates nothing like this; he relies solely on the words of Christ. Nor does he speak about the Montanists, but about Christians, number 33, that each one should remain as he was born, “or in one marriage only.”</w:t>
      </w:r>
    </w:p>
    <w:p w14:paraId="7128333C" w14:textId="77777777" w:rsidR="005C2B3E" w:rsidRDefault="00000000">
      <w:pPr>
        <w:ind w:firstLine="360"/>
      </w:pPr>
      <w:r>
        <w:t>VII. The cause for accusing Athenagoras is not more justly drawn from his words about the ecstasy of the prophets. For first, even if he had not been among those who immediately noticed the fault in the ecstasies of the Montanists and foresaw the evils that would come from these men, it does not follow that he should be called a follower of Montanus, much less a schismatic. For in that dispute about the Montanists that arose among the Catholics, which Eusebius</w:t>
      </w:r>
      <w:r>
        <w:fldChar w:fldCharType="begin"/>
      </w:r>
      <w:r>
        <w:instrText xml:space="preserve"> XE "Eusebius" \f "Persons"</w:instrText>
      </w:r>
      <w:r>
        <w:fldChar w:fldCharType="end"/>
      </w:r>
      <w:r>
        <w:t xml:space="preserve"> relates, </w:t>
      </w:r>
      <w:r>
        <w:rPr>
          <w:i/>
        </w:rPr>
        <w:t>Hist.</w:t>
      </w:r>
      <w:r>
        <w:t xml:space="preserve">, iv, 3, whoever did not condemn or even approved the prophecies of Montanus did not therefore commit themselves to be governed by Montanus; and as long as the Montanists were allowed </w:t>
      </w:r>
      <w:r>
        <w:lastRenderedPageBreak/>
        <w:t xml:space="preserve">among the Catholics, there is no doubt that many praised them and were praised by them, yet they did not follow their ways of living and thinking. From this it is also clear how unfair and absurd it would be to reproach the Catholic Church’s veneration of women devoted to the Montanist sect, because the Acts of Saint Perpetua and Saint Felicitas were collected by a man who, as the preface says, recognized and honored </w:t>
      </w:r>
      <w:r>
        <w:rPr>
          <w:i/>
        </w:rPr>
        <w:t>new visions</w:t>
      </w:r>
      <w:r>
        <w:t xml:space="preserve"> as well as </w:t>
      </w:r>
      <w:r>
        <w:rPr>
          <w:i/>
        </w:rPr>
        <w:t>prophecies</w:t>
      </w:r>
      <w:r>
        <w:t>. It is difficult to envy the Montanists a writer speaking about new prophecies at that time: Valesius</w:t>
      </w:r>
      <w:r>
        <w:fldChar w:fldCharType="begin"/>
      </w:r>
      <w:r>
        <w:instrText xml:space="preserve"> XE "Valesius" \f "Persons"</w:instrText>
      </w:r>
      <w:r>
        <w:fldChar w:fldCharType="end"/>
      </w:r>
      <w:r>
        <w:t xml:space="preserve"> claims he was a follower of Montanus, Ruinart</w:t>
      </w:r>
      <w:r>
        <w:fldChar w:fldCharType="begin"/>
      </w:r>
      <w:r>
        <w:instrText xml:space="preserve"> XE "Ruinart" \f "Persons"</w:instrText>
      </w:r>
      <w:r>
        <w:fldChar w:fldCharType="end"/>
      </w:r>
      <w:r>
        <w:t xml:space="preserve"> denies it. But if he was a Montanist, the holy martyrs should not therefore be handed over to the Montanists; or certainly Saint Rutilius the martyr will not escape the same mark, whom, although he rejected Montanus, Tertullian</w:t>
      </w:r>
      <w:r>
        <w:fldChar w:fldCharType="begin"/>
      </w:r>
      <w:r>
        <w:instrText xml:space="preserve"> XE "Tertullian" \f "Persons"</w:instrText>
      </w:r>
      <w:r>
        <w:fldChar w:fldCharType="end"/>
      </w:r>
      <w:r>
        <w:t xml:space="preserve"> honored with great praise in his book </w:t>
      </w:r>
      <w:r>
        <w:rPr>
          <w:i/>
        </w:rPr>
        <w:t>On Flight in Persecution</w:t>
      </w:r>
      <w:r>
        <w:t>, chapter 5.</w:t>
      </w:r>
    </w:p>
    <w:p w14:paraId="2E4285D3" w14:textId="77777777" w:rsidR="005C2B3E" w:rsidRDefault="00000000">
      <w:pPr>
        <w:ind w:firstLine="360"/>
      </w:pPr>
      <w:r>
        <w:t>Second, it cannot even be said that the Montanists were not rejected and condemned by Athenagoras. For Saint Clement of Alexandria lists this sect among heresies, yet he also recognizes the prophets, just as Athenagoras does, as speaking in ecstasy, and he proves that all the false prophets who were before Christ were thieves, because “they truly prophesied in ecstasy,” evidently imitating and supported by the devil in their prophetic ecstasy. See Saint Ambrose on Psalm 39.</w:t>
      </w:r>
    </w:p>
    <w:p w14:paraId="4914C166" w14:textId="77777777" w:rsidR="005C2B3E" w:rsidRDefault="00000000">
      <w:pPr>
        <w:ind w:firstLine="360"/>
      </w:pPr>
      <w:r>
        <w:t>Third, there is nothing here of Athenagoras</w:t>
      </w:r>
      <w:r>
        <w:fldChar w:fldCharType="begin"/>
      </w:r>
      <w:r>
        <w:instrText xml:space="preserve"> XE "Athenagoras" \f "Persons"</w:instrText>
      </w:r>
      <w:r>
        <w:fldChar w:fldCharType="end"/>
      </w:r>
      <w:r>
        <w:t xml:space="preserve"> with the Montanists: his whole dispute is with the pagans. He says that the prophets were carried away outside themselves, not because he thought it necessary to believe that “a man, established in the spirit,” as Tertullian</w:t>
      </w:r>
      <w:r>
        <w:fldChar w:fldCharType="begin"/>
      </w:r>
      <w:r>
        <w:instrText xml:space="preserve"> XE "Tertullian" \f "Persons"</w:instrText>
      </w:r>
      <w:r>
        <w:fldChar w:fldCharType="end"/>
      </w:r>
      <w:r>
        <w:t xml:space="preserve"> says, “falls out of his senses, that is, overshadowed by divine power,” but because since ecstasy was known as a sign of divine inspiration in the oracles of the Gentiles, he wanted to prove by this argument that the prophets were inspired by God, suitable to move the Gentiles. Justin</w:t>
      </w:r>
      <w:r>
        <w:fldChar w:fldCharType="begin"/>
      </w:r>
      <w:r>
        <w:instrText xml:space="preserve"> XE "Justin" \f "Persons"</w:instrText>
      </w:r>
      <w:r>
        <w:fldChar w:fldCharType="end"/>
      </w:r>
      <w:r>
        <w:t xml:space="preserve"> spoke not much differently in his </w:t>
      </w:r>
      <w:r>
        <w:rPr>
          <w:i/>
        </w:rPr>
        <w:t>Exhortation</w:t>
      </w:r>
      <w:r>
        <w:t>, who also praises the powerful breath of the Sibyl. So also Theophilus</w:t>
      </w:r>
      <w:r>
        <w:fldChar w:fldCharType="begin"/>
      </w:r>
      <w:r>
        <w:instrText xml:space="preserve"> XE "Theophilus" \f "Persons"</w:instrText>
      </w:r>
      <w:r>
        <w:fldChar w:fldCharType="end"/>
      </w:r>
      <w:r>
        <w:t>, book 2, number 9. The same seems to have been the purpose of Philo</w:t>
      </w:r>
      <w:r>
        <w:fldChar w:fldCharType="begin"/>
      </w:r>
      <w:r>
        <w:instrText xml:space="preserve"> XE "Philo" \f "Persons"</w:instrText>
      </w:r>
      <w:r>
        <w:fldChar w:fldCharType="end"/>
      </w:r>
      <w:r>
        <w:t xml:space="preserve"> when he speaks about the ecstasy of the prophets, namely to raise their glory and honor and to prove their inspiration. See book 2, </w:t>
      </w:r>
      <w:r>
        <w:rPr>
          <w:i/>
        </w:rPr>
        <w:t>Allegorical Interpretation of the Law</w:t>
      </w:r>
      <w:r>
        <w:t xml:space="preserve">, p. 52, and the book </w:t>
      </w:r>
      <w:r>
        <w:rPr>
          <w:i/>
        </w:rPr>
        <w:t>Who is a Heretic in Divine Matters</w:t>
      </w:r>
      <w:r>
        <w:t>.</w:t>
      </w:r>
    </w:p>
    <w:p w14:paraId="3C4C466A" w14:textId="77777777" w:rsidR="005C2B3E" w:rsidRDefault="00000000">
      <w:pPr>
        <w:pStyle w:val="Heading3"/>
      </w:pPr>
      <w:r>
        <w:t>CHAPTER 15</w:t>
      </w:r>
    </w:p>
    <w:p w14:paraId="55361A9C" w14:textId="77777777" w:rsidR="005C2B3E" w:rsidRDefault="00000000">
      <w:pPr>
        <w:pStyle w:val="Heading4"/>
      </w:pPr>
      <w:r>
        <w:t>ON THE DEEDS AND WRITINGS OF SAINT THEOPHILUS, BISHOP OF ANTIOCH</w:t>
      </w:r>
    </w:p>
    <w:p w14:paraId="17A7C52A" w14:textId="77777777" w:rsidR="005C2B3E" w:rsidRDefault="00000000">
      <w:pPr>
        <w:spacing w:before="180" w:after="0"/>
        <w:ind w:left="720" w:right="320" w:hanging="360"/>
      </w:pPr>
      <w:r>
        <w:t>I. On the conversion and bishopric of Saint Theophilus</w:t>
      </w:r>
      <w:r>
        <w:fldChar w:fldCharType="begin"/>
      </w:r>
      <w:r>
        <w:instrText xml:space="preserve"> XE "Theophilus" \f "Persons"</w:instrText>
      </w:r>
      <w:r>
        <w:fldChar w:fldCharType="end"/>
      </w:r>
      <w:r>
        <w:t>. II. On his lost works. III. Theophilus’s writings are not commentaries on the Gospels. IV. On what occasion the three books to Autolycus</w:t>
      </w:r>
      <w:r>
        <w:fldChar w:fldCharType="begin"/>
      </w:r>
      <w:r>
        <w:instrText xml:space="preserve"> XE "Autolycus" \f "Persons"</w:instrText>
      </w:r>
      <w:r>
        <w:fldChar w:fldCharType="end"/>
      </w:r>
      <w:r>
        <w:t xml:space="preserve"> were written. V. Written </w:t>
      </w:r>
      <w:r>
        <w:lastRenderedPageBreak/>
        <w:t>under the reign of Commodus. VI. Dodwell, who invented another Theophilus, is refuted.</w:t>
      </w:r>
    </w:p>
    <w:p w14:paraId="1A43A4B7" w14:textId="77777777" w:rsidR="005C2B3E" w:rsidRDefault="00000000">
      <w:r>
        <w:t>I</w:t>
      </w:r>
      <w:r>
        <w:fldChar w:fldCharType="begin"/>
      </w:r>
      <w:r>
        <w:instrText xml:space="preserve"> XE "I" \f "Persons"</w:instrText>
      </w:r>
      <w:r>
        <w:fldChar w:fldCharType="end"/>
      </w:r>
      <w:r>
        <w:t>. Theophilus</w:t>
      </w:r>
      <w:r>
        <w:fldChar w:fldCharType="begin"/>
      </w:r>
      <w:r>
        <w:instrText xml:space="preserve"> XE "Theophilus" \f "Persons"</w:instrText>
      </w:r>
      <w:r>
        <w:fldChar w:fldCharType="end"/>
      </w:r>
      <w:r>
        <w:t xml:space="preserve"> was born and raised in the darkness of pagan superstitions; and the same thing happened to him as Justin</w:t>
      </w:r>
      <w:r>
        <w:fldChar w:fldCharType="begin"/>
      </w:r>
      <w:r>
        <w:instrText xml:space="preserve"> XE "Justin" \f "Persons"</w:instrText>
      </w:r>
      <w:r>
        <w:fldChar w:fldCharType="end"/>
      </w:r>
      <w:r>
        <w:t xml:space="preserve"> and Tatian</w:t>
      </w:r>
      <w:r>
        <w:fldChar w:fldCharType="begin"/>
      </w:r>
      <w:r>
        <w:instrText xml:space="preserve"> XE "Tatian" \f "Persons"</w:instrText>
      </w:r>
      <w:r>
        <w:fldChar w:fldCharType="end"/>
      </w:r>
      <w:r>
        <w:t xml:space="preserve"> about themselves, and Philip of Side</w:t>
      </w:r>
      <w:r>
        <w:fldChar w:fldCharType="begin"/>
      </w:r>
      <w:r>
        <w:instrText xml:space="preserve"> XE "Philip of Side" \f "Persons"</w:instrText>
      </w:r>
      <w:r>
        <w:fldChar w:fldCharType="end"/>
      </w:r>
      <w:r>
        <w:t xml:space="preserve"> about Athenagoras</w:t>
      </w:r>
      <w:r>
        <w:fldChar w:fldCharType="begin"/>
      </w:r>
      <w:r>
        <w:instrText xml:space="preserve"> XE "Athenagoras" \f "Persons"</w:instrText>
      </w:r>
      <w:r>
        <w:fldChar w:fldCharType="end"/>
      </w:r>
      <w:r>
        <w:t xml:space="preserve"> testify, that by reading the Scriptures he was converted to the Christian religion. He himself tells the story near the end of the first book </w:t>
      </w:r>
      <w:r>
        <w:rPr>
          <w:i/>
        </w:rPr>
        <w:t>to Autolycus:</w:t>
      </w:r>
      <w:r>
        <w:t xml:space="preserve"> “Therefore, do not be unbelieving, but rather believe. For I myself did not believe in the future resurrection; but now I believe, after I considered these things more carefully; at the same time because I came upon the sacred Scriptures of the holy prophets, who through the Holy Spirit foretold past events as they happened, present events as they happen, and future events in the order in which they will be fulfilled. Since the things that happen and were foretold long ago provide me with proof; I am not unbelieving, but I believe, obeying God.</w:t>
      </w:r>
    </w:p>
    <w:p w14:paraId="3012CCC2" w14:textId="77777777" w:rsidR="005C2B3E" w:rsidRDefault="00000000">
      <w:pPr>
        <w:ind w:firstLine="360"/>
      </w:pPr>
      <w:r>
        <w:t>Dodwell, whom we will refute below, dared to remove this Theophilus far too late from the apostolic age and to strip him of episcopal dignity; some others, along with him, less skillfully confused him with the one to whom the Acts of the Apostles are attributed. Our Theophilus is far removed from that one, who, after the death of Eros, the fifth bishop of Antioch, around the eighth year of Marcus Aurelius</w:t>
      </w:r>
      <w:r>
        <w:fldChar w:fldCharType="begin"/>
      </w:r>
      <w:r>
        <w:instrText xml:space="preserve"> XE "Marcus Aurelius" \f "Persons"</w:instrText>
      </w:r>
      <w:r>
        <w:fldChar w:fldCharType="end"/>
      </w:r>
      <w:r>
        <w:t>, that is, the year 168 AD, was prefect of the See of Antioch. For Eusebius</w:t>
      </w:r>
      <w:r>
        <w:fldChar w:fldCharType="begin"/>
      </w:r>
      <w:r>
        <w:instrText xml:space="preserve"> XE "Eusebius" \f "Persons"</w:instrText>
      </w:r>
      <w:r>
        <w:fldChar w:fldCharType="end"/>
      </w:r>
      <w:r>
        <w:t xml:space="preserve"> testifies that in the eighth year of this emperor, Soter succeeded Anicetus in Rome, and Celadion succeeded Agrippinus in Alexandria; and he immediately adds: Τηνικαῦτα καὶ ἐπὶ τῆς Ἀντιοχέων Ἑκκλησίας Θεόφιλος ἕκτος ἀπὸ τῶν ἀποστόλων ἐγνωρίζετο. “At that time also, in the Church of Antioch, Theophilus, the sixth from the apostles, was flourishing.” These words do not seem to me to indicate that these three patriarchs were elected in the same year of Marcus Aurelius, but only that they governed the Church at the same time. For if Eusebius’s words are taken strictly, it will rather follow from them that Theophilus was already flourishing in Antioch when Soter succeeded Anicetus, and Agrippinus succeeded Celadion.</w:t>
      </w:r>
    </w:p>
    <w:p w14:paraId="5C4604DE" w14:textId="77777777" w:rsidR="005C2B3E" w:rsidRDefault="00000000">
      <w:pPr>
        <w:ind w:firstLine="360"/>
      </w:pPr>
      <w:r>
        <w:t>II. Besides the daily burden of work and care imposed on all bishops, not a little trouble was added to our Theophilus by the heresies that then attacked the Church. His vigilance and watchfulness over the entrusted sheep can be seen from the zeal he showed in defeating heretics and turning them away from his flock. Thus Eusebius</w:t>
      </w:r>
      <w:r>
        <w:fldChar w:fldCharType="begin"/>
      </w:r>
      <w:r>
        <w:instrText xml:space="preserve"> XE "Eusebius" \f "Persons"</w:instrText>
      </w:r>
      <w:r>
        <w:fldChar w:fldCharType="end"/>
      </w:r>
      <w:r>
        <w:t xml:space="preserve"> says of him: Τῶν γε μὴν αἱρετικῶν οὐδὲν χεῖρον καὶ τότε ζιζανίων δίκην λυμαινομένων τὸν εἰλικρινῆ τῆς ἀποστολικῆς διδασκαλίας σπόρον, οἱ πανταχόσε τῶν Ἑκκλησιῶν ποιμένες, ὥσπερ τινὰς θῆρας ἀγρίους τῶν τοῦ Χριστοῦ προβάτων ἀποσοβοῦντες αὐτοὺς ἀνεῖργον· τοτὲ μὲν, ταῖς πρὸς τοὺς ἀδελφοὺς νουθεσίαις καὶ παραινέσεσι· τοτὲ δὲ, πρὸς αὐτοὺς γυμνότερον ἀποδυόμενοι, ἀγράφοις τε εἰς πρόσωπον ζητήσεσι καὶ ἀνατροπαῖς· ᾔδη δὲ καὶ διʼ ἐγγράφων ὑπομνημάτων τὰς δόξας αὐτῶν ἀκριβεστάτοις </w:t>
      </w:r>
      <w:r>
        <w:lastRenderedPageBreak/>
        <w:t xml:space="preserve">ἐλέγχοις διευθύνοντες. “Indeed, at that time, the pastors of the Churches everywhere, seeing the pure seed of apostolic teaching being ravaged like weeds by heretics, drove them away from the flock of Christ as if they were wild beasts; sometimes by admonitions and exhortations to the brothers; sometimes by more direct confrontations with the heretics themselves, with unwritten personal inquiries and refutations; and also by written memorials, guiding their errors with the most exact proofs.” Theophilus, fighting together with the others against these, is clearly shown by a certain work of his, not at all to be despised, which he wrote against Marcion, a work which, along with others I have mentioned, still survives. Theophilus also wrote, as Eusebius and Jerome testify, another book against the heresy of Hermogenes, in which he used testimonies taken from the Apocalypse of John. Other works of his, written against heretics, perished, among which Eusebius testifies that </w:t>
      </w:r>
      <w:r>
        <w:rPr>
          <w:i/>
        </w:rPr>
        <w:t>the elements of the faith were set forth</w:t>
      </w:r>
      <w:r>
        <w:t>: Καὶ ἕτερα δέ τινα κατηχητικὰ αὐτοῦ βιβλία, or, as Jerome interprets, *short and elegant treatises pertaining to the edification of the Church.*</w:t>
      </w:r>
    </w:p>
    <w:p w14:paraId="0535A30D" w14:textId="77777777" w:rsidR="005C2B3E" w:rsidRDefault="00000000">
      <w:pPr>
        <w:ind w:firstLine="360"/>
      </w:pPr>
      <w:r>
        <w:t>Perhaps among these discussions should be counted the books that Theophilus</w:t>
      </w:r>
      <w:r>
        <w:fldChar w:fldCharType="begin"/>
      </w:r>
      <w:r>
        <w:instrText xml:space="preserve"> XE "Theophilus" \f "Persons"</w:instrText>
      </w:r>
      <w:r>
        <w:fldChar w:fldCharType="end"/>
      </w:r>
      <w:r>
        <w:t xml:space="preserve"> himself testifies to having written. In the second book </w:t>
      </w:r>
      <w:r>
        <w:rPr>
          <w:i/>
        </w:rPr>
        <w:t>To Autolycus</w:t>
      </w:r>
      <w:r>
        <w:t xml:space="preserve"> he first cites a book </w:t>
      </w:r>
      <w:r>
        <w:rPr>
          <w:i/>
        </w:rPr>
        <w:t>On Histories</w:t>
      </w:r>
      <w:r>
        <w:t xml:space="preserve">, in which he dealt with the generations of the first men. He speaks thus, number 30: Καὶ γὰρ ἐκ μέρους ἤδη γεγένηται ἡμῖν λόγος ἐν ἑτέρῳ λόγῳ ὡς ἐπάνω προειρήκαμεν, τῆς γενεαλογίας ἡ τάξις ἐν τῇ πρώτῃ βίβλῳ τῇ περὶ </w:t>
      </w:r>
      <w:r>
        <w:rPr>
          <w:b/>
        </w:rPr>
        <w:t>ἱστοριῶν</w:t>
      </w:r>
      <w:r>
        <w:t xml:space="preserve">. “For now some part of this discussion has already been set forth by us in another work, as we said above, namely the order of genealogy in the first book </w:t>
      </w:r>
      <w:r>
        <w:rPr>
          <w:i/>
        </w:rPr>
        <w:t>On Histories</w:t>
      </w:r>
      <w:r>
        <w:t xml:space="preserve">.” A little later he says that he dealt with the matters of Noah in the same book. That book </w:t>
      </w:r>
      <w:r>
        <w:rPr>
          <w:i/>
        </w:rPr>
        <w:t>On Histories</w:t>
      </w:r>
      <w:r>
        <w:t xml:space="preserve">, in which Theophilus wove the series of genealogies in the first book, seems to have been titled </w:t>
      </w:r>
      <w:r>
        <w:rPr>
          <w:i/>
        </w:rPr>
        <w:t>Genesis of the World</w:t>
      </w:r>
      <w:r>
        <w:t xml:space="preserve">. For he says, number 28, that he passes over the discussion of the demon because the speech is long, and that he treated that matter elsewhere. Soon after, number 29, he says: Τὰ μὲν οὖν κατʼ αὐτοὺς πλείω ἕχει τὴν ἱστορίαν, οὐ μὴν ἀλλὰ καὶ τὴν οἰκονομίαν τῆς ἐξηγήσεως· διὸ τὰ τῆς ἱστορίας δύναται ἀκριβέστερον διδάξαι αὐτὴ ἢ βίβλος ἥτις ἐπιγράφεται </w:t>
      </w:r>
      <w:r>
        <w:rPr>
          <w:b/>
        </w:rPr>
        <w:t>Γένεσις κόσμου</w:t>
      </w:r>
      <w:r>
        <w:t xml:space="preserve">. “And indeed, those things concerning them (Abel and Cain) have a very full history, indeed also the arrangement of the narrative; therefore the book itself titled </w:t>
      </w:r>
      <w:r>
        <w:rPr>
          <w:i/>
        </w:rPr>
        <w:t>Genesis of the World</w:t>
      </w:r>
      <w:r>
        <w:t xml:space="preserve"> can teach more accurately about the history.” It seems that by this phrase he indicates the first book of the Pentateuch, which the learned Wolfius observes is called </w:t>
      </w:r>
      <w:r>
        <w:rPr>
          <w:i/>
        </w:rPr>
        <w:t>Genesis of the World</w:t>
      </w:r>
      <w:r>
        <w:t xml:space="preserve"> in the Alexandrian manuscript and by Epiphanius in the book </w:t>
      </w:r>
      <w:r>
        <w:rPr>
          <w:i/>
        </w:rPr>
        <w:t>On Weights and Measures</w:t>
      </w:r>
      <w:r>
        <w:t xml:space="preserve">. These words, </w:t>
      </w:r>
      <w:r>
        <w:rPr>
          <w:i/>
        </w:rPr>
        <w:t>the book itself</w:t>
      </w:r>
      <w:r>
        <w:t xml:space="preserve">, aptly designate Genesis as the source from which all discussion on these matters is drawn. Yet, since the first book of the Pentateuch is not usually titled </w:t>
      </w:r>
      <w:r>
        <w:rPr>
          <w:i/>
        </w:rPr>
        <w:t>Genesis of the World</w:t>
      </w:r>
      <w:r>
        <w:t xml:space="preserve"> but simply </w:t>
      </w:r>
      <w:r>
        <w:rPr>
          <w:i/>
        </w:rPr>
        <w:t>Genesis</w:t>
      </w:r>
      <w:r>
        <w:t xml:space="preserve">, nothing prevented Theophilus from titling his work </w:t>
      </w:r>
      <w:r>
        <w:rPr>
          <w:i/>
        </w:rPr>
        <w:t>Genesis of the World</w:t>
      </w:r>
      <w:r>
        <w:t xml:space="preserve">; and since a little before he said he had dealt elsewhere with the demon who tempted Adam and Eve, he could soon send those eager to learn to that very book. But what compels me to </w:t>
      </w:r>
      <w:r>
        <w:lastRenderedPageBreak/>
        <w:t xml:space="preserve">attribute this book, titled </w:t>
      </w:r>
      <w:r>
        <w:rPr>
          <w:i/>
        </w:rPr>
        <w:t>Genesis of the World</w:t>
      </w:r>
      <w:r>
        <w:t xml:space="preserve">, to Theophilus is that he says, number 30, that he had already cited a book in which he dealt with genealogies; no other place occurs in which this work is cited except that one, where he sends readers to </w:t>
      </w:r>
      <w:r>
        <w:rPr>
          <w:i/>
        </w:rPr>
        <w:t>Genesis of the World</w:t>
      </w:r>
      <w:r>
        <w:t>. When he declares that he dealt with the matters of Noah in the same book, he seems to indicate no other book than the third, number 19, where he says he showed elsewhere that the ark was built not by Deucalion but by Noah, whose name sounds the same as rest.</w:t>
      </w:r>
    </w:p>
    <w:p w14:paraId="75BCDA7F" w14:textId="77777777" w:rsidR="005C2B3E" w:rsidRDefault="00000000">
      <w:pPr>
        <w:ind w:firstLine="360"/>
      </w:pPr>
      <w:r>
        <w:t>III. About the commentary of Theophilus</w:t>
      </w:r>
      <w:r>
        <w:fldChar w:fldCharType="begin"/>
      </w:r>
      <w:r>
        <w:instrText xml:space="preserve"> XE "Theophilus" \f "Persons"</w:instrText>
      </w:r>
      <w:r>
        <w:fldChar w:fldCharType="end"/>
      </w:r>
      <w:r>
        <w:t xml:space="preserve"> on the Gospel and on Proverbs, Jerome</w:t>
      </w:r>
      <w:r>
        <w:fldChar w:fldCharType="begin"/>
      </w:r>
      <w:r>
        <w:instrText xml:space="preserve"> XE "Jerome" \f "Persons"</w:instrText>
      </w:r>
      <w:r>
        <w:fldChar w:fldCharType="end"/>
      </w:r>
      <w:r>
        <w:t xml:space="preserve"> says in the book </w:t>
      </w:r>
      <w:r>
        <w:rPr>
          <w:i/>
        </w:rPr>
        <w:t>On Ecclesiastical Writers:</w:t>
      </w:r>
      <w:r>
        <w:t xml:space="preserve"> “I have read commentaries under his name on the Gospel and on Solomon</w:t>
      </w:r>
      <w:r>
        <w:fldChar w:fldCharType="begin"/>
      </w:r>
      <w:r>
        <w:instrText xml:space="preserve"> XE "Solomon" \f "Persons"</w:instrText>
      </w:r>
      <w:r>
        <w:fldChar w:fldCharType="end"/>
      </w:r>
      <w:r>
        <w:t>’s Proverbs, which to me do not seem to match the elegance and style of the earlier volumes.” The same Jerome uses a certain testimony of Theophilus of Antioch</w:t>
      </w:r>
      <w:r>
        <w:fldChar w:fldCharType="begin"/>
      </w:r>
      <w:r>
        <w:instrText xml:space="preserve"> XE "Theophilus of Antioch" \f "Persons"</w:instrText>
      </w:r>
      <w:r>
        <w:fldChar w:fldCharType="end"/>
      </w:r>
      <w:r>
        <w:t xml:space="preserve"> in a letter to Algasius</w:t>
      </w:r>
      <w:r>
        <w:fldChar w:fldCharType="begin"/>
      </w:r>
      <w:r>
        <w:instrText xml:space="preserve"> XE "Algasius" \f "Persons"</w:instrText>
      </w:r>
      <w:r>
        <w:fldChar w:fldCharType="end"/>
      </w:r>
      <w:r>
        <w:t>, question 6, which we refer to in the Appendix. Jerome explains from which work of Theophilus this testimony is taken: “Theophilus,” he says, “the seventh bishop of the Church of Antioch after the apostle Peter, who, gathering the sayings of the four evangelists into one work, left us monuments of his talent, spoke these things about this parable in his commentaries.” Therefore, Theophilus worked on two things: first, he collected the sayings of the evangelists and joined similar ones together as if they were one work. Then he added his own commentaries. This work is certainly very different from that which Tatian</w:t>
      </w:r>
      <w:r>
        <w:fldChar w:fldCharType="begin"/>
      </w:r>
      <w:r>
        <w:instrText xml:space="preserve"> XE "Tatian" \f "Persons"</w:instrText>
      </w:r>
      <w:r>
        <w:fldChar w:fldCharType="end"/>
      </w:r>
      <w:r>
        <w:t xml:space="preserve"> produced; and rightly Valesius</w:t>
      </w:r>
      <w:r>
        <w:fldChar w:fldCharType="begin"/>
      </w:r>
      <w:r>
        <w:instrText xml:space="preserve"> XE "Valesius" \f "Persons"</w:instrText>
      </w:r>
      <w:r>
        <w:fldChar w:fldCharType="end"/>
      </w:r>
      <w:r>
        <w:t xml:space="preserve"> suspected that Jerome had slipped in memory and attributed Tatian’s work to Theophilus. For Tatian did not add commentaries to the sayings of the evangelists. Elsewhere Jerome says he read the commentaries of Theophilus.</w:t>
      </w:r>
    </w:p>
    <w:p w14:paraId="691743DA" w14:textId="77777777" w:rsidR="005C2B3E" w:rsidRDefault="00000000">
      <w:pPr>
        <w:ind w:firstLine="360"/>
      </w:pPr>
      <w:r>
        <w:t>From this observation it also becomes clear that those brief commentaries, published under his name in the Libraries of the Fathers, which explain each evangelist separately in four books, cannot be attributed to our Theophilus</w:t>
      </w:r>
      <w:r>
        <w:fldChar w:fldCharType="begin"/>
      </w:r>
      <w:r>
        <w:instrText xml:space="preserve"> XE "Theophilus" \f "Persons"</w:instrText>
      </w:r>
      <w:r>
        <w:fldChar w:fldCharType="end"/>
      </w:r>
      <w:r>
        <w:t>. Moreover, who would not recognize the Latin writer in these words? “By iota, the Old Testament is signified, in which the Decalogue is contained; for iota stands for ten among the Greeks. But the apex, having four letters, through the Gospel fourfold, indicates the New Testament.” To these add that some things occurring in these commentaries are taken from the Latin Fathers; from Jerome</w:t>
      </w:r>
      <w:r>
        <w:fldChar w:fldCharType="begin"/>
      </w:r>
      <w:r>
        <w:instrText xml:space="preserve"> XE "Jerome" \f "Persons"</w:instrText>
      </w:r>
      <w:r>
        <w:fldChar w:fldCharType="end"/>
      </w:r>
      <w:r>
        <w:t>, four reasons why Christ was born of the betrothed; from St</w:t>
      </w:r>
      <w:r>
        <w:fldChar w:fldCharType="begin"/>
      </w:r>
      <w:r>
        <w:instrText xml:space="preserve"> XE "St" \f "Persons"</w:instrText>
      </w:r>
      <w:r>
        <w:fldChar w:fldCharType="end"/>
      </w:r>
      <w:r>
        <w:t xml:space="preserve">. Cyprian’s letter to Magnus, a notable passage about the body and blood of the Lord; from the same Jerome, the Latin interpretation of what Theophilus had discussed about the parable of the steward. Grabius thinks it a useless effort to suppose that these were borrowed by Theophilus from St. Cyprian and St. Jerome. But if Theophilus had written these in Greek, I would hardly believe that the interpreter so carefully hunted down the places cited by the Latin Fathers as to transfer their words into his own interpretation. Furthermore, if Jerome received from Theophilus those </w:t>
      </w:r>
      <w:r>
        <w:lastRenderedPageBreak/>
        <w:t>four reasons why Christ was born of the betrothed, why does St. Ignatius</w:t>
      </w:r>
      <w:r>
        <w:fldChar w:fldCharType="begin"/>
      </w:r>
      <w:r>
        <w:instrText xml:space="preserve"> XE "Ignatius" \f "Persons"</w:instrText>
      </w:r>
      <w:r>
        <w:fldChar w:fldCharType="end"/>
      </w:r>
      <w:r>
        <w:t xml:space="preserve"> report the fourth reason, but not at all attribute any to St. Theophilus?</w:t>
      </w:r>
    </w:p>
    <w:p w14:paraId="3C92FD01" w14:textId="77777777" w:rsidR="005C2B3E" w:rsidRDefault="00000000">
      <w:pPr>
        <w:ind w:firstLine="360"/>
      </w:pPr>
      <w:r>
        <w:t xml:space="preserve">IV. Now we must examine the reason for writing the three books </w:t>
      </w:r>
      <w:r>
        <w:rPr>
          <w:i/>
        </w:rPr>
        <w:t>To Autolycus</w:t>
      </w:r>
      <w:r>
        <w:t>, and especially at what time they were written.</w:t>
      </w:r>
    </w:p>
    <w:p w14:paraId="6E00DE09" w14:textId="77777777" w:rsidR="005C2B3E" w:rsidRDefault="00000000">
      <w:pPr>
        <w:ind w:firstLine="360"/>
      </w:pPr>
      <w:r>
        <w:t>Autolycus seems to have been joined in friendship with our Theophilus</w:t>
      </w:r>
      <w:r>
        <w:fldChar w:fldCharType="begin"/>
      </w:r>
      <w:r>
        <w:instrText xml:space="preserve"> XE "Theophilus" \f "Persons"</w:instrText>
      </w:r>
      <w:r>
        <w:fldChar w:fldCharType="end"/>
      </w:r>
      <w:r>
        <w:t>. For Theophilus calls him a friend near the end of the first book, and invites him to frequent conversation near the end of the second. This man possessed no small adornments of pagan virtues and an untiring eagerness for reading. Theophilus greets him as excellent and gives him praise for his wisdom: he testifies that he had read very much, and was so devoted to every kind of learning, or, as he himself calls it, to all industrious trifles, that he did not hesitate to spend nights in libraries. But these praises of Autolycus were completely overwhelmed by the piety unworthy of a learned man toward every kind of idols, and the very harmful popular opinion about Christians. For although he was a diligent investigator of other matters, he heard about Christians carelessly, and, credulous of evil rumors, thought that they mingled with their sisters and devoured human flesh. Such a man Theophilus portrays to us in various places.</w:t>
      </w:r>
    </w:p>
    <w:p w14:paraId="3252F4D5" w14:textId="77777777" w:rsidR="005C2B3E" w:rsidRDefault="00000000">
      <w:pPr>
        <w:ind w:firstLine="360"/>
      </w:pPr>
      <w:r>
        <w:t>Tillemont thought that the book written by Autolycus</w:t>
      </w:r>
      <w:r>
        <w:fldChar w:fldCharType="begin"/>
      </w:r>
      <w:r>
        <w:instrText xml:space="preserve"> XE "Autolycus" \f "Persons"</w:instrText>
      </w:r>
      <w:r>
        <w:fldChar w:fldCharType="end"/>
      </w:r>
      <w:r>
        <w:t xml:space="preserve"> against the Christians gave occasion to this work of our Theophilus</w:t>
      </w:r>
      <w:r>
        <w:fldChar w:fldCharType="begin"/>
      </w:r>
      <w:r>
        <w:instrText xml:space="preserve"> XE "Theophilus" \f "Persons"</w:instrText>
      </w:r>
      <w:r>
        <w:fldChar w:fldCharType="end"/>
      </w:r>
      <w:r>
        <w:t>. But there is no trace at all of such a book against the Christians. Autolycus had annoyed Theophilus with empty talk, selling false and painted gods; he had thrown the name of Christian as a kind of insult; and finally he had asked to show his God. But these words, which Theophilus refutes in the first book, were not recorded in writing, as Tillemont thought, but thrown out in a certain conversation, as we see from the beginning of the second book, where Theophilus briefly reviews what had passed between them so far, saying: Ἐπειδὴ πρὸ τούτων τῶν ἡμερῶν ἐγένετο λόγος ἡμῖν, ὦ ἀγαθώτατε Αὐτόλυκε, πυθομένου σου τίς μου ὁ Θεὸς, καὶ διʼ ὁλίγου παρασχόντος σου τὰ ὦτα τῇ ὁμιλίᾳ ἡμῶν, περὶ τῆς θεοσεβείας μου ἐξεθέμην σοι· ἕτι δὲ καὶ ἀποταξάμενοι ἑαυτοῖς, μετὰ πλείστης φιλίας ἐπορεύθημεν ἕκαστος εἰς τὸν ἑαυτοῦ οἶκον, καίπερ σκληρῶς τὰ πρῶτα ἕχοντος (σοῦ) πρὸς ἡμᾶς· οἶδας γὰρ καὶ μέμνησαι, ὅτι ὑπέλαβες μωρίαν αἶναι τὸν λόγον ἡμῶν.</w:t>
      </w:r>
    </w:p>
    <w:p w14:paraId="33876912" w14:textId="77777777" w:rsidR="005C2B3E" w:rsidRDefault="00000000">
      <w:pPr>
        <w:ind w:firstLine="360"/>
      </w:pPr>
      <w:r>
        <w:t>“Since before these days we had a conversation, most excellent Autolycus</w:t>
      </w:r>
      <w:r>
        <w:fldChar w:fldCharType="begin"/>
      </w:r>
      <w:r>
        <w:instrText xml:space="preserve"> XE "Autolycus" \f "Persons"</w:instrText>
      </w:r>
      <w:r>
        <w:fldChar w:fldCharType="end"/>
      </w:r>
      <w:r>
        <w:t>, with you asking who my God was, and after you gave your ears for a short time to our discussion, I explained to you my piety; and then, having parted from each other, we went each to his own home with the greatest friendship, although at first you had been rather harsh toward us. For you know and remember that you thought our teaching to be foolishness.”</w:t>
      </w:r>
    </w:p>
    <w:p w14:paraId="6CD69B46" w14:textId="77777777" w:rsidR="005C2B3E" w:rsidRDefault="00000000">
      <w:pPr>
        <w:ind w:firstLine="360"/>
      </w:pPr>
      <w:r>
        <w:t>From this it is clear that Autolycus mocked God and the name of Christians not in writing but in mere speech, so that Theophilus</w:t>
      </w:r>
      <w:r>
        <w:fldChar w:fldCharType="begin"/>
      </w:r>
      <w:r>
        <w:instrText xml:space="preserve"> XE "Theophilus" \f "Persons"</w:instrText>
      </w:r>
      <w:r>
        <w:fldChar w:fldCharType="end"/>
      </w:r>
      <w:r>
        <w:t xml:space="preserve"> was prompted to refute these </w:t>
      </w:r>
      <w:r>
        <w:lastRenderedPageBreak/>
        <w:t xml:space="preserve">nonsense. Therefore, the first book </w:t>
      </w:r>
      <w:r>
        <w:rPr>
          <w:i/>
        </w:rPr>
        <w:t>To Autolycus</w:t>
      </w:r>
      <w:r>
        <w:t xml:space="preserve"> seems to have been composed not so much to refute by effort, as to put into writing what Theophilus had already answered to Autolycus. Hence Theophilus begins the second book at the urging of Autolycus, as if he had written nothing before on purpose: Κἂν ἰδιώτης ὦ τῷ λόγῳ, πλὴν βούλομαί σοι καὶ νῦν διὰ τοῦδε τοῦ συγγράμματος ἀκριβέστερον ἐπιδεῖξαι τὴν ματαιοπονίαν καὶ ματαίαν θρησκείαν ἐν ᾖ κατέχῃ, ἀλλὰ καὶ διʼ ὀλίγων τῶν κατὰ σὲ ἱστοριῶν, ὧν ἁναγινώσκεις ἴσως καὶ οὐδέπω γινώσκεις, τὸ ἀληθὲς φανερὸν ποιῆσαι.</w:t>
      </w:r>
    </w:p>
    <w:p w14:paraId="000FAE11" w14:textId="77777777" w:rsidR="005C2B3E" w:rsidRDefault="00000000">
      <w:pPr>
        <w:ind w:firstLine="360"/>
      </w:pPr>
      <w:r>
        <w:t>“Now, however, at your urging,” he says, “although I am inexperienced in speaking, I want also with this little book to show you more precisely the useless labor and vain superstition in which you are held; indeed, to make clear before your eyes the truth from some of the histories according to you, which you perhaps read but do not yet understand.” Theophilus</w:t>
      </w:r>
      <w:r>
        <w:fldChar w:fldCharType="begin"/>
      </w:r>
      <w:r>
        <w:instrText xml:space="preserve"> XE "Theophilus" \f "Persons"</w:instrText>
      </w:r>
      <w:r>
        <w:fldChar w:fldCharType="end"/>
      </w:r>
      <w:r>
        <w:t xml:space="preserve"> invites Autolycus to frequent conversation; and it seems that he did not neglect this; but since even after these meetings he held the truth as if delirium, and imagined our letters to him to be recent, Theophilus began to show their antiquity in the third book.</w:t>
      </w:r>
    </w:p>
    <w:p w14:paraId="7495695C" w14:textId="77777777" w:rsidR="005C2B3E" w:rsidRDefault="00000000">
      <w:pPr>
        <w:ind w:firstLine="360"/>
      </w:pPr>
      <w:r>
        <w:t>V. These books provide clear clues by which we can judge when they were written. For Theophilus</w:t>
      </w:r>
      <w:r>
        <w:fldChar w:fldCharType="begin"/>
      </w:r>
      <w:r>
        <w:instrText xml:space="preserve"> XE "Theophilus" \f "Persons"</w:instrText>
      </w:r>
      <w:r>
        <w:fldChar w:fldCharType="end"/>
      </w:r>
      <w:r>
        <w:t xml:space="preserve"> in the third book traces chronology from the origin of the world up to Marcus Aurelius</w:t>
      </w:r>
      <w:r>
        <w:fldChar w:fldCharType="begin"/>
      </w:r>
      <w:r>
        <w:instrText xml:space="preserve"> XE "Marcus Aurelius" \f "Persons"</w:instrText>
      </w:r>
      <w:r>
        <w:fldChar w:fldCharType="end"/>
      </w:r>
      <w:r>
        <w:t>, whom he testifies ruled for 19 years and 10 days. He also cites Chryserotus, a freedman of Marcus Aurelius, who, according to our Theophilus, had described the sequence of times from the founding of the City up to the death of his patron, Emperor Marcus Aurelius. From this it is clear that these books were written under Commodus, and cannot be placed either later or earlier; for there can be no other reason why Theophilus, having promised a description of times up to his own age, does not count the years of Commodus, except because he was still ruling.</w:t>
      </w:r>
    </w:p>
    <w:p w14:paraId="22F7EE8E" w14:textId="77777777" w:rsidR="005C2B3E" w:rsidRDefault="00000000">
      <w:pPr>
        <w:ind w:firstLine="360"/>
      </w:pPr>
      <w:r>
        <w:t>But in which year of Commodus the work should be placed is not easily determined. We will place it not far from the beginning of Commodus’s reign if we follow the author Nicephorus</w:t>
      </w:r>
      <w:r>
        <w:fldChar w:fldCharType="begin"/>
      </w:r>
      <w:r>
        <w:instrText xml:space="preserve"> XE "Nicephorus" \f "Persons"</w:instrText>
      </w:r>
      <w:r>
        <w:fldChar w:fldCharType="end"/>
      </w:r>
      <w:r>
        <w:t>, who assigns thirteen years of bishopric to Theophilus. For since Eusebius</w:t>
      </w:r>
      <w:r>
        <w:fldChar w:fldCharType="begin"/>
      </w:r>
      <w:r>
        <w:instrText xml:space="preserve"> XE "Eusebius" \f "Persons"</w:instrText>
      </w:r>
      <w:r>
        <w:fldChar w:fldCharType="end"/>
      </w:r>
      <w:r>
        <w:t>, as we have seen above, testifies that Theophilus succeeded Eros around the year 168; if we give Theophilus thirteen years of bishopric according to Nicephorus, it will follow that he died around the year 181, and therefore this last work, as not long before his death, was composed under the beginning of Emperor Commodus. Eutychius</w:t>
      </w:r>
      <w:r>
        <w:fldChar w:fldCharType="begin"/>
      </w:r>
      <w:r>
        <w:instrText xml:space="preserve"> XE "Eutychius" \f "Persons"</w:instrText>
      </w:r>
      <w:r>
        <w:fldChar w:fldCharType="end"/>
      </w:r>
      <w:r>
        <w:t xml:space="preserve"> reports that Theophilus presided over the See of Antioch for 21 years, from which it would follow that he died around the year 188. But Nicephorus is older, as Tillemont observes, and of greater authority than Eutychius. As for what is said in Eusebius’s Chronicles that Maximus succeeded our Theophilus in the year 177 or 178, that is clearly an error.</w:t>
      </w:r>
    </w:p>
    <w:p w14:paraId="1C876FB7" w14:textId="77777777" w:rsidR="005C2B3E" w:rsidRDefault="00000000">
      <w:pPr>
        <w:ind w:firstLine="360"/>
      </w:pPr>
      <w:r>
        <w:t>Another argument why this work should not be placed at the very end of Commodus’s reign is supplied by Irenaeus</w:t>
      </w:r>
      <w:r>
        <w:fldChar w:fldCharType="begin"/>
      </w:r>
      <w:r>
        <w:instrText xml:space="preserve"> XE "Irenaeus" \f "Persons"</w:instrText>
      </w:r>
      <w:r>
        <w:fldChar w:fldCharType="end"/>
      </w:r>
      <w:r>
        <w:t xml:space="preserve">, who borrowed some things from our </w:t>
      </w:r>
      <w:r>
        <w:lastRenderedPageBreak/>
        <w:t>Theophilus</w:t>
      </w:r>
      <w:r>
        <w:fldChar w:fldCharType="begin"/>
      </w:r>
      <w:r>
        <w:instrText xml:space="preserve"> XE "Theophilus" \f "Persons"</w:instrText>
      </w:r>
      <w:r>
        <w:fldChar w:fldCharType="end"/>
      </w:r>
      <w:r>
        <w:t>. Irenaeus wrote his third book Against Heresies under Commodus and Eleutherus</w:t>
      </w:r>
      <w:r>
        <w:fldChar w:fldCharType="begin"/>
      </w:r>
      <w:r>
        <w:instrText xml:space="preserve"> XE "Eleutherus" \f "Persons"</w:instrText>
      </w:r>
      <w:r>
        <w:fldChar w:fldCharType="end"/>
      </w:r>
      <w:r>
        <w:t xml:space="preserve">, and therefore before the year 192, when Commodus was killed and Eleutherus Victor succeeded him. Moreover, Irenaeus did not publish five books Against Heresies all at once, but, as all agree, some time passed between the first two and those that followed, although perhaps the interval was not long. In the second book there is a certain statement which I seem to see clearly taken from Theophilus by not uncertain signs. Thus Irenaeus refutes the heretics’ claim that they do not know the true and supreme God as creator: “Or do those who are under Roman rule, although they have never seen the emperor, but are separated from him both by land and sea, recognize him because of his dominion, who has the greatest power of rule; but those who were angels over us, or he whom they call the maker of the world, do they not recognize the Almighty?” Similarly Theophilus, in book 1, number 5: Εἶτα βασιλεὺς μὲν ἐπίγειος εἶναι πιστεύεται, καίπερ μὴ πᾶσιν βλεπόμενος, διὰ δὲ νόμων καὶ διατάξεων αὐτοῦ καὶ ἐξουσιῶν, καὶ δυνάμεων καὶ εἰκόνων νοεῖται· τὸν δὲ Θεὸν οὐ βούλει σὺ νοεῖσθαι διὰ ἔργων καὶ δυνάμεων; “Then indeed the earthly king is believed to exist, although not seen by all, but through his laws and commands, and authorities, and powers, and images he is understood. But you do not want to understand God through his works and powers?” The similarity of the thought is clear in both writers; but that Irenaeus borrowed this from Theophilus, not Theophilus from Irenaeus, is shown by the fact that it is clear and bright in Theophilus, but somewhat weakened and obscure in Irenaeus—faults which imitators do not usually avoid. For what Theophilus says is much clearer: that the emperor is known through </w:t>
      </w:r>
      <w:r>
        <w:rPr>
          <w:i/>
        </w:rPr>
        <w:t>laws and commands, through authorities and powers</w:t>
      </w:r>
      <w:r>
        <w:t xml:space="preserve"> (that is, through leaders and prefects), and through images, than what Irenaeus says, </w:t>
      </w:r>
      <w:r>
        <w:rPr>
          <w:i/>
        </w:rPr>
        <w:t>recognized because of dominion</w:t>
      </w:r>
      <w:r>
        <w:t xml:space="preserve">. In this I believe Irenaeus’s interpreter, as often elsewhere, was deceived by a single letter’s error, reading διʼ ἐξουσίαν instead of διʼ ἐξουσιῶν, and rendering </w:t>
      </w:r>
      <w:r>
        <w:rPr>
          <w:i/>
        </w:rPr>
        <w:t>because of dominion</w:t>
      </w:r>
      <w:r>
        <w:t xml:space="preserve"> instead of what should have been rendered </w:t>
      </w:r>
      <w:r>
        <w:rPr>
          <w:i/>
        </w:rPr>
        <w:t>through powers</w:t>
      </w:r>
      <w:r>
        <w:t xml:space="preserve">, that is, through leaders and prefects. Indeed, the comparison used by both seems more suited against the Gentiles, who did not recognize God from the visible works in this world, than against heretics, who imagined the supreme God to be unknown to the Creator of this world and his angels. Irenaeus also imitated what is said about the childish state of Adam in our Theophilus’s second book: the testimonies of both can be examined and compared in the Preface, part 1. It will not be doubtful who imitates whom, since Theophilus defends this thought with great effort, while Irenaeus proposes it almost in passing. From these things we conclude that the books </w:t>
      </w:r>
      <w:r>
        <w:rPr>
          <w:i/>
        </w:rPr>
        <w:t>To Autolycus</w:t>
      </w:r>
      <w:r>
        <w:t xml:space="preserve"> are not far from the beginning of Commodus’s reign, since Irenaeus, who wrote under Commodus, transferred some things from them into his own work.</w:t>
      </w:r>
    </w:p>
    <w:p w14:paraId="12D586D1" w14:textId="77777777" w:rsidR="005C2B3E" w:rsidRDefault="00000000">
      <w:pPr>
        <w:ind w:firstLine="360"/>
      </w:pPr>
      <w:r>
        <w:t xml:space="preserve">But against what we have stated, it may be objected that these </w:t>
      </w:r>
      <w:r>
        <w:rPr>
          <w:i/>
        </w:rPr>
        <w:t>To Autolycus</w:t>
      </w:r>
      <w:r>
        <w:fldChar w:fldCharType="begin"/>
      </w:r>
      <w:r>
        <w:instrText xml:space="preserve"> XE "Autolycus" \f "Persons"</w:instrText>
      </w:r>
      <w:r>
        <w:fldChar w:fldCharType="end"/>
      </w:r>
      <w:r>
        <w:t xml:space="preserve"> books do not show the work of a man practiced in writing, nor the product of a bishop </w:t>
      </w:r>
      <w:r>
        <w:lastRenderedPageBreak/>
        <w:t>involved in the most serious cares; therefore it would be better to think that this work was composed by Theophilus</w:t>
      </w:r>
      <w:r>
        <w:fldChar w:fldCharType="begin"/>
      </w:r>
      <w:r>
        <w:instrText xml:space="preserve"> XE "Theophilus" \f "Persons"</w:instrText>
      </w:r>
      <w:r>
        <w:fldChar w:fldCharType="end"/>
      </w:r>
      <w:r>
        <w:t xml:space="preserve"> before he was advanced in age, and afterward enlarged by him with those things that are read about the death of Marcus Aurelius. Invited to write by Autolycus, Theophilus admits he was inexperienced in speaking, and he undertakes the task not without great timidity. But will someone object, does he speak like this, who had already won many victories over heretics, and must have had great experience in writing, as Theophilus should have had then, if he was writing this last work shortly before his death? Perhaps also the secular learning with which this work is filled—the many testimonies of poets, the deep discussions about the opinions of philosophers and about chronology, the frequent conversations with a learned man—seem less fitting for a bishop of so great a see, occupied with the most serious matters.</w:t>
      </w:r>
    </w:p>
    <w:p w14:paraId="24A1B068" w14:textId="77777777" w:rsidR="005C2B3E" w:rsidRDefault="00000000">
      <w:pPr>
        <w:ind w:firstLine="360"/>
      </w:pPr>
      <w:r>
        <w:t>But it is by no means surprising if the bishop, feeling humble about himself, thinks himself inexperienced, and if the learned man discusses many secular matters, because they served his purpose; although Theophilus</w:t>
      </w:r>
      <w:r>
        <w:fldChar w:fldCharType="begin"/>
      </w:r>
      <w:r>
        <w:instrText xml:space="preserve"> XE "Theophilus" \f "Persons"</w:instrText>
      </w:r>
      <w:r>
        <w:fldChar w:fldCharType="end"/>
      </w:r>
      <w:r>
        <w:t xml:space="preserve"> takes many things from the middle of the Christian religion. Those frequent conversations with Autolycus were not of a man abundant in leisure, but of a bishop fervent in charity, who especially took it upon himself to lead the erring to the truth.</w:t>
      </w:r>
    </w:p>
    <w:p w14:paraId="69F94D43" w14:textId="77777777" w:rsidR="005C2B3E" w:rsidRDefault="00000000">
      <w:pPr>
        <w:ind w:firstLine="360"/>
      </w:pPr>
      <w:r>
        <w:t xml:space="preserve">I do not deny that the </w:t>
      </w:r>
      <w:r>
        <w:rPr>
          <w:i/>
        </w:rPr>
        <w:t>To Autolycus</w:t>
      </w:r>
      <w:r>
        <w:t xml:space="preserve"> books, as Grabius notes in </w:t>
      </w:r>
      <w:r>
        <w:rPr>
          <w:i/>
        </w:rPr>
        <w:t>Spicilegium</w:t>
      </w:r>
      <w:r>
        <w:t xml:space="preserve"> vol. II, did not come out all at once; but I maintain that only a very short time passed between them. For at the beginning of the second book he recalls a conversation he had with Autolycus a few days earlier, which was the material for the first book. Near the end of the second book he urges Autolycus to meet with him often; and since that meeting took place but Autolycus still did not yield to the truth, Theophilus</w:t>
      </w:r>
      <w:r>
        <w:fldChar w:fldCharType="begin"/>
      </w:r>
      <w:r>
        <w:instrText xml:space="preserve"> XE "Theophilus" \f "Persons"</w:instrText>
      </w:r>
      <w:r>
        <w:fldChar w:fldCharType="end"/>
      </w:r>
      <w:r>
        <w:t xml:space="preserve"> composed the third book to uproot the preconceived opinions that had settled in his mind. Therefore, the series and connection of the three books is such that they should not be separated or broken apart. That they were written in the order in which they are now found is shown by the fact that in the third book the first is referred to at number 3; and the second is named explicitly at number 19. Nor should the additions found in the third book about the reign of Marcus Aurelius be considered later additions. For since all the calculations of numbers made by Theophilus end at the end of this emperor’s reign, as at a common point, there is nothing in the whole book that should be regarded as less trustworthy.</w:t>
      </w:r>
    </w:p>
    <w:p w14:paraId="1C15E81F" w14:textId="77777777" w:rsidR="005C2B3E" w:rsidRDefault="00000000">
      <w:pPr>
        <w:ind w:firstLine="360"/>
      </w:pPr>
      <w:r>
        <w:t>VI. I will not delay in refuting Dodwell, who, seeking a knot in a rush, declares that the three books we are now discussing were not written by Theophilus</w:t>
      </w:r>
      <w:r>
        <w:fldChar w:fldCharType="begin"/>
      </w:r>
      <w:r>
        <w:instrText xml:space="preserve"> XE "Theophilus" \f "Persons"</w:instrText>
      </w:r>
      <w:r>
        <w:fldChar w:fldCharType="end"/>
      </w:r>
      <w:r>
        <w:t>, bishop of Antioch, but by another Theophilus of Antioch</w:t>
      </w:r>
      <w:r>
        <w:fldChar w:fldCharType="begin"/>
      </w:r>
      <w:r>
        <w:instrText xml:space="preserve"> XE "Theophilus of Antioch" \f "Persons"</w:instrText>
      </w:r>
      <w:r>
        <w:fldChar w:fldCharType="end"/>
      </w:r>
      <w:r>
        <w:t>, whom he claims wrote under Severus.</w:t>
      </w:r>
    </w:p>
    <w:p w14:paraId="0F76AC81" w14:textId="77777777" w:rsidR="005C2B3E" w:rsidRDefault="00000000">
      <w:pPr>
        <w:ind w:firstLine="360"/>
      </w:pPr>
      <w:r>
        <w:t>Eusebius</w:t>
      </w:r>
      <w:r>
        <w:fldChar w:fldCharType="begin"/>
      </w:r>
      <w:r>
        <w:instrText xml:space="preserve"> XE "Eusebius" \f "Persons"</w:instrText>
      </w:r>
      <w:r>
        <w:fldChar w:fldCharType="end"/>
      </w:r>
      <w:r>
        <w:t xml:space="preserve"> and Jerome</w:t>
      </w:r>
      <w:r>
        <w:fldChar w:fldCharType="begin"/>
      </w:r>
      <w:r>
        <w:instrText xml:space="preserve"> XE "Jerome" \f "Persons"</w:instrText>
      </w:r>
      <w:r>
        <w:fldChar w:fldCharType="end"/>
      </w:r>
      <w:r>
        <w:t xml:space="preserve"> object to this comment: Irenaeus</w:t>
      </w:r>
      <w:r>
        <w:fldChar w:fldCharType="begin"/>
      </w:r>
      <w:r>
        <w:instrText xml:space="preserve"> XE "Irenaeus" \f "Persons"</w:instrText>
      </w:r>
      <w:r>
        <w:fldChar w:fldCharType="end"/>
      </w:r>
      <w:r>
        <w:t xml:space="preserve"> objects, who added these books to his own use under Commodus. What, then, were the reasons that drove Dodwell, a truly very learned man, to go against the agreement of antiquity? But these </w:t>
      </w:r>
      <w:r>
        <w:lastRenderedPageBreak/>
        <w:t xml:space="preserve">are so weak, or rather so insignificant, that they upset Tillemont, whose utmost calm of mind is known to all, and forced him to brand Dodwell with a mark of rashness. The first argument is drawn from the fact that the author of the </w:t>
      </w:r>
      <w:r>
        <w:rPr>
          <w:i/>
        </w:rPr>
        <w:t>To Autolycus</w:t>
      </w:r>
      <w:r>
        <w:t xml:space="preserve"> books cites Chryserotus</w:t>
      </w:r>
      <w:r>
        <w:fldChar w:fldCharType="begin"/>
      </w:r>
      <w:r>
        <w:instrText xml:space="preserve"> XE "Chryserotus" \f "Persons"</w:instrText>
      </w:r>
      <w:r>
        <w:fldChar w:fldCharType="end"/>
      </w:r>
      <w:r>
        <w:t>, who could not have written before the year 180. But what prevents Theophilus</w:t>
      </w:r>
      <w:r>
        <w:fldChar w:fldCharType="begin"/>
      </w:r>
      <w:r>
        <w:instrText xml:space="preserve"> XE "Theophilus" \f "Persons"</w:instrText>
      </w:r>
      <w:r>
        <w:fldChar w:fldCharType="end"/>
      </w:r>
      <w:r>
        <w:t>, writing under Commodus, from citing those who wrote under the same emperor before him?</w:t>
      </w:r>
    </w:p>
    <w:p w14:paraId="56C49007" w14:textId="77777777" w:rsidR="005C2B3E" w:rsidRDefault="00000000">
      <w:pPr>
        <w:ind w:firstLine="360"/>
      </w:pPr>
      <w:r>
        <w:t>Secondly, Dodwell objects that these books were written during an active persecution. For Theophilus</w:t>
      </w:r>
      <w:r>
        <w:fldChar w:fldCharType="begin"/>
      </w:r>
      <w:r>
        <w:instrText xml:space="preserve"> XE "Theophilus" \f "Persons"</w:instrText>
      </w:r>
      <w:r>
        <w:fldChar w:fldCharType="end"/>
      </w:r>
      <w:r>
        <w:t xml:space="preserve"> says that Christians are harassed daily by the pagans, and those who hasten toward virtue and practice a holier life have been partly stoned, partly killed, and even now are afflicted with the cruelest wounds. But no persecution arose from Marcus to Severus; nor was anyone other than Severus attacking Proselytes and Ascetics, who are mentioned here.</w:t>
      </w:r>
    </w:p>
    <w:p w14:paraId="4DD63B1A" w14:textId="77777777" w:rsidR="005C2B3E" w:rsidRDefault="00000000">
      <w:pPr>
        <w:ind w:firstLine="360"/>
      </w:pPr>
      <w:r>
        <w:t>Dodwell does not touch on any part of the truth. It is denied that Severus was cruel only to Ascetics and Proselytes. It is denied that Proselytes and Ascetics are meant by Theophilus</w:t>
      </w:r>
      <w:r>
        <w:fldChar w:fldCharType="begin"/>
      </w:r>
      <w:r>
        <w:instrText xml:space="preserve"> XE "Theophilus" \f "Persons"</w:instrText>
      </w:r>
      <w:r>
        <w:fldChar w:fldCharType="end"/>
      </w:r>
      <w:r>
        <w:t>; finally, it is denied that a particular persecution is indicated by Theophilus; but he does exactly the same thing that we have observed done by many other writers, who, although no persecution was raging at the time they wrote, nevertheless said that the Church was constantly disturbed and harassed because of the long-standing hatred against Christians and frequent persecutions. Add to this that it could have happened that the persecution, from which there was no relief under Marcus, was not immediately calmed when Commodus took power. That Marcia, who won over Commodus’s mind to the Christians, was not loved by him immediately when he reigned, but in the third year of his rule.</w:t>
      </w:r>
    </w:p>
    <w:p w14:paraId="2EA63721" w14:textId="77777777" w:rsidR="005C2B3E" w:rsidRDefault="005C2B3E">
      <w:pPr>
        <w:sectPr w:rsidR="005C2B3E">
          <w:footnotePr>
            <w:numRestart w:val="eachSect"/>
          </w:footnotePr>
          <w:pgSz w:w="8640" w:h="12960" w:code="9"/>
          <w:pgMar w:top="1080" w:right="720" w:bottom="1080" w:left="360" w:header="504" w:footer="504" w:gutter="720"/>
          <w:cols w:space="708"/>
          <w:titlePg/>
          <w:docGrid w:linePitch="360"/>
        </w:sectPr>
      </w:pPr>
    </w:p>
    <w:p w14:paraId="31F280A2" w14:textId="77777777" w:rsidR="005C2B3E" w:rsidRDefault="005C2B3E">
      <w:pPr>
        <w:sectPr w:rsidR="005C2B3E">
          <w:footnotePr>
            <w:numRestart w:val="eachSect"/>
          </w:footnotePr>
          <w:pgSz w:w="8640" w:h="12960" w:code="9"/>
          <w:pgMar w:top="1080" w:right="720" w:bottom="1080" w:left="360" w:header="504" w:footer="504" w:gutter="720"/>
          <w:cols w:space="708"/>
          <w:titlePg/>
          <w:docGrid w:linePitch="360"/>
        </w:sectPr>
      </w:pPr>
    </w:p>
    <w:p w14:paraId="3F3D83C5" w14:textId="77777777" w:rsidR="005C2B3E" w:rsidRDefault="00000000">
      <w:pPr>
        <w:pStyle w:val="Heading1"/>
      </w:pPr>
      <w:r>
        <w:lastRenderedPageBreak/>
        <w:t>Indexes</w:t>
      </w:r>
    </w:p>
    <w:p w14:paraId="35F4E9E5" w14:textId="77777777" w:rsidR="005C2B3E" w:rsidRDefault="00000000">
      <w:r>
        <w:t xml:space="preserve">The person and place indices have been generated based on named entity recognition of the revised English text. As the text was revised, person names and place names were algorithmically identified in the text using the machine learning (ML) model </w:t>
      </w:r>
      <w:r>
        <w:rPr>
          <w:rFonts w:ascii="Courier New" w:hAnsi="Courier New"/>
        </w:rPr>
        <w:t>sven-nm/roberta_classics_ner</w:t>
      </w:r>
      <w:r>
        <w:t xml:space="preserve">. </w:t>
      </w:r>
    </w:p>
    <w:p w14:paraId="0FBDBB0E" w14:textId="77777777" w:rsidR="005C2B3E" w:rsidRDefault="005C2B3E">
      <w:pPr>
        <w:sectPr w:rsidR="005C2B3E">
          <w:footnotePr>
            <w:numRestart w:val="eachSect"/>
          </w:footnotePr>
          <w:pgSz w:w="8640" w:h="12960" w:code="9"/>
          <w:pgMar w:top="1080" w:right="720" w:bottom="1080" w:left="360" w:header="504" w:footer="504" w:gutter="720"/>
          <w:cols w:space="708"/>
          <w:titlePg/>
          <w:docGrid w:linePitch="360"/>
        </w:sectPr>
      </w:pPr>
    </w:p>
    <w:p w14:paraId="7CBDB8C9" w14:textId="77777777" w:rsidR="005C2B3E" w:rsidRDefault="00000000">
      <w:pPr>
        <w:pStyle w:val="Heading2"/>
      </w:pPr>
      <w:r>
        <w:t>Index of Persons</w:t>
      </w:r>
    </w:p>
    <w:p w14:paraId="1566F9C6" w14:textId="77777777" w:rsidR="005C2B3E" w:rsidRDefault="005C2B3E">
      <w:pPr>
        <w:sectPr w:rsidR="005C2B3E">
          <w:footnotePr>
            <w:numRestart w:val="eachSect"/>
          </w:footnotePr>
          <w:type w:val="continuous"/>
          <w:pgSz w:w="8640" w:h="12960" w:code="9"/>
          <w:pgMar w:top="1080" w:right="720" w:bottom="1080" w:left="360" w:header="504" w:footer="504" w:gutter="720"/>
          <w:cols w:space="720"/>
          <w:titlePg/>
          <w:docGrid w:linePitch="360"/>
        </w:sectPr>
      </w:pPr>
    </w:p>
    <w:p w14:paraId="77BA6E55" w14:textId="77777777" w:rsidR="006009FA" w:rsidRDefault="00000000">
      <w:pPr>
        <w:pStyle w:val="Index1"/>
        <w:tabs>
          <w:tab w:val="right" w:leader="dot" w:pos="3050"/>
        </w:tabs>
        <w:rPr>
          <w:noProof/>
        </w:rPr>
      </w:pPr>
      <w:r>
        <w:fldChar w:fldCharType="begin"/>
      </w:r>
      <w:r>
        <w:instrText xml:space="preserve"> INDEX \f "Persons" " — " </w:instrText>
      </w:r>
      <w:r w:rsidR="00AE0150">
        <w:fldChar w:fldCharType="separate"/>
      </w:r>
      <w:r w:rsidR="006009FA">
        <w:rPr>
          <w:noProof/>
        </w:rPr>
        <w:t>Aldus, 14</w:t>
      </w:r>
    </w:p>
    <w:p w14:paraId="46279DBA" w14:textId="77777777" w:rsidR="006009FA" w:rsidRDefault="006009FA">
      <w:pPr>
        <w:pStyle w:val="Index1"/>
        <w:tabs>
          <w:tab w:val="right" w:leader="dot" w:pos="3050"/>
        </w:tabs>
        <w:rPr>
          <w:noProof/>
        </w:rPr>
      </w:pPr>
      <w:r>
        <w:rPr>
          <w:noProof/>
        </w:rPr>
        <w:t>Algasius, 194</w:t>
      </w:r>
    </w:p>
    <w:p w14:paraId="78DAC34E" w14:textId="77777777" w:rsidR="006009FA" w:rsidRDefault="006009FA">
      <w:pPr>
        <w:pStyle w:val="Index1"/>
        <w:tabs>
          <w:tab w:val="right" w:leader="dot" w:pos="3050"/>
        </w:tabs>
        <w:rPr>
          <w:noProof/>
        </w:rPr>
      </w:pPr>
      <w:r>
        <w:rPr>
          <w:noProof/>
        </w:rPr>
        <w:t>Ambrose, 81, 101</w:t>
      </w:r>
    </w:p>
    <w:p w14:paraId="7B838643" w14:textId="77777777" w:rsidR="006009FA" w:rsidRDefault="006009FA">
      <w:pPr>
        <w:pStyle w:val="Index1"/>
        <w:tabs>
          <w:tab w:val="right" w:leader="dot" w:pos="3050"/>
        </w:tabs>
        <w:rPr>
          <w:noProof/>
        </w:rPr>
      </w:pPr>
      <w:r>
        <w:rPr>
          <w:noProof/>
        </w:rPr>
        <w:t>Ammonius, 173</w:t>
      </w:r>
    </w:p>
    <w:p w14:paraId="7FC2AD26" w14:textId="77777777" w:rsidR="006009FA" w:rsidRDefault="006009FA">
      <w:pPr>
        <w:pStyle w:val="Index1"/>
        <w:tabs>
          <w:tab w:val="right" w:leader="dot" w:pos="3050"/>
        </w:tabs>
        <w:rPr>
          <w:noProof/>
        </w:rPr>
      </w:pPr>
      <w:r>
        <w:rPr>
          <w:noProof/>
        </w:rPr>
        <w:t>Antoninus, 113, 122, 128, 129, 130, 132, 142, 148, 149, 150, 151, 160</w:t>
      </w:r>
    </w:p>
    <w:p w14:paraId="6A7991E6" w14:textId="77777777" w:rsidR="006009FA" w:rsidRDefault="006009FA">
      <w:pPr>
        <w:pStyle w:val="Index1"/>
        <w:tabs>
          <w:tab w:val="right" w:leader="dot" w:pos="3050"/>
        </w:tabs>
        <w:rPr>
          <w:noProof/>
        </w:rPr>
      </w:pPr>
      <w:r>
        <w:rPr>
          <w:noProof/>
        </w:rPr>
        <w:t>Antonius Melissa, 12</w:t>
      </w:r>
    </w:p>
    <w:p w14:paraId="54DF1193" w14:textId="77777777" w:rsidR="006009FA" w:rsidRDefault="006009FA">
      <w:pPr>
        <w:pStyle w:val="Index1"/>
        <w:tabs>
          <w:tab w:val="right" w:leader="dot" w:pos="3050"/>
        </w:tabs>
        <w:rPr>
          <w:noProof/>
        </w:rPr>
      </w:pPr>
      <w:r>
        <w:rPr>
          <w:noProof/>
        </w:rPr>
        <w:t>Apollinaris, 134</w:t>
      </w:r>
    </w:p>
    <w:p w14:paraId="0CB21942" w14:textId="77777777" w:rsidR="006009FA" w:rsidRDefault="006009FA">
      <w:pPr>
        <w:pStyle w:val="Index1"/>
        <w:tabs>
          <w:tab w:val="right" w:leader="dot" w:pos="3050"/>
        </w:tabs>
        <w:rPr>
          <w:noProof/>
        </w:rPr>
      </w:pPr>
      <w:r>
        <w:rPr>
          <w:noProof/>
        </w:rPr>
        <w:t>Apollonius, 131</w:t>
      </w:r>
    </w:p>
    <w:p w14:paraId="277FBF30" w14:textId="77777777" w:rsidR="006009FA" w:rsidRDefault="006009FA">
      <w:pPr>
        <w:pStyle w:val="Index1"/>
        <w:tabs>
          <w:tab w:val="right" w:leader="dot" w:pos="3050"/>
        </w:tabs>
        <w:rPr>
          <w:noProof/>
        </w:rPr>
      </w:pPr>
      <w:r>
        <w:rPr>
          <w:noProof/>
        </w:rPr>
        <w:t>Aponius, 155</w:t>
      </w:r>
    </w:p>
    <w:p w14:paraId="6AD64F7B" w14:textId="77777777" w:rsidR="006009FA" w:rsidRDefault="006009FA">
      <w:pPr>
        <w:pStyle w:val="Index1"/>
        <w:tabs>
          <w:tab w:val="right" w:leader="dot" w:pos="3050"/>
        </w:tabs>
        <w:rPr>
          <w:noProof/>
        </w:rPr>
      </w:pPr>
      <w:r>
        <w:rPr>
          <w:noProof/>
        </w:rPr>
        <w:t>Apuleius, 151</w:t>
      </w:r>
    </w:p>
    <w:p w14:paraId="3AB4009E" w14:textId="77777777" w:rsidR="006009FA" w:rsidRDefault="006009FA">
      <w:pPr>
        <w:pStyle w:val="Index1"/>
        <w:tabs>
          <w:tab w:val="right" w:leader="dot" w:pos="3050"/>
        </w:tabs>
        <w:rPr>
          <w:noProof/>
        </w:rPr>
      </w:pPr>
      <w:r>
        <w:rPr>
          <w:noProof/>
        </w:rPr>
        <w:t>Aristides, 110</w:t>
      </w:r>
    </w:p>
    <w:p w14:paraId="26888CA2" w14:textId="77777777" w:rsidR="006009FA" w:rsidRDefault="006009FA">
      <w:pPr>
        <w:pStyle w:val="Index1"/>
        <w:tabs>
          <w:tab w:val="right" w:leader="dot" w:pos="3050"/>
        </w:tabs>
        <w:rPr>
          <w:noProof/>
        </w:rPr>
      </w:pPr>
      <w:r>
        <w:rPr>
          <w:noProof/>
        </w:rPr>
        <w:t>Aristotle, 5, 6, 7, 113</w:t>
      </w:r>
    </w:p>
    <w:p w14:paraId="5F87F785" w14:textId="77777777" w:rsidR="006009FA" w:rsidRDefault="006009FA">
      <w:pPr>
        <w:pStyle w:val="Index1"/>
        <w:tabs>
          <w:tab w:val="right" w:leader="dot" w:pos="3050"/>
        </w:tabs>
        <w:rPr>
          <w:noProof/>
        </w:rPr>
      </w:pPr>
      <w:r>
        <w:rPr>
          <w:noProof/>
        </w:rPr>
        <w:t>Arnold Arlenius Paraxylus, 12</w:t>
      </w:r>
    </w:p>
    <w:p w14:paraId="7E2F8CE5" w14:textId="77777777" w:rsidR="006009FA" w:rsidRDefault="006009FA">
      <w:pPr>
        <w:pStyle w:val="Index1"/>
        <w:tabs>
          <w:tab w:val="right" w:leader="dot" w:pos="3050"/>
        </w:tabs>
        <w:rPr>
          <w:noProof/>
        </w:rPr>
      </w:pPr>
      <w:r>
        <w:rPr>
          <w:noProof/>
        </w:rPr>
        <w:t>Athanasius, 5</w:t>
      </w:r>
    </w:p>
    <w:p w14:paraId="013D1665" w14:textId="77777777" w:rsidR="006009FA" w:rsidRDefault="006009FA">
      <w:pPr>
        <w:pStyle w:val="Index1"/>
        <w:tabs>
          <w:tab w:val="right" w:leader="dot" w:pos="3050"/>
        </w:tabs>
        <w:rPr>
          <w:noProof/>
        </w:rPr>
      </w:pPr>
      <w:r>
        <w:rPr>
          <w:noProof/>
        </w:rPr>
        <w:t>Athenagoras, 4, 10, 13, 16, 17, 30, 31, 32, 33, 37, 38, 64, 68, 69, 102, 116, 147, 176, 177, 178, 179, 180, 181, 182, 183, 190, 191, 192</w:t>
      </w:r>
    </w:p>
    <w:p w14:paraId="1F90D512" w14:textId="77777777" w:rsidR="006009FA" w:rsidRDefault="006009FA">
      <w:pPr>
        <w:pStyle w:val="Index1"/>
        <w:tabs>
          <w:tab w:val="right" w:leader="dot" w:pos="3050"/>
        </w:tabs>
        <w:rPr>
          <w:noProof/>
        </w:rPr>
      </w:pPr>
      <w:r>
        <w:rPr>
          <w:noProof/>
        </w:rPr>
        <w:t>Athenogenes, 178</w:t>
      </w:r>
    </w:p>
    <w:p w14:paraId="124AC5BF" w14:textId="77777777" w:rsidR="006009FA" w:rsidRDefault="006009FA">
      <w:pPr>
        <w:pStyle w:val="Index1"/>
        <w:tabs>
          <w:tab w:val="right" w:leader="dot" w:pos="3050"/>
        </w:tabs>
        <w:rPr>
          <w:noProof/>
        </w:rPr>
      </w:pPr>
      <w:r>
        <w:rPr>
          <w:noProof/>
        </w:rPr>
        <w:t>Augustine, 31, 33, 34, 36, 69, 84, 101, 138, 165</w:t>
      </w:r>
    </w:p>
    <w:p w14:paraId="5990E3D3" w14:textId="77777777" w:rsidR="006009FA" w:rsidRDefault="006009FA">
      <w:pPr>
        <w:pStyle w:val="Index1"/>
        <w:tabs>
          <w:tab w:val="right" w:leader="dot" w:pos="3050"/>
        </w:tabs>
        <w:rPr>
          <w:noProof/>
        </w:rPr>
      </w:pPr>
      <w:r>
        <w:rPr>
          <w:noProof/>
        </w:rPr>
        <w:t>Aurelian, 137</w:t>
      </w:r>
    </w:p>
    <w:p w14:paraId="2680F706" w14:textId="77777777" w:rsidR="006009FA" w:rsidRDefault="006009FA">
      <w:pPr>
        <w:pStyle w:val="Index1"/>
        <w:tabs>
          <w:tab w:val="right" w:leader="dot" w:pos="3050"/>
        </w:tabs>
        <w:rPr>
          <w:noProof/>
        </w:rPr>
      </w:pPr>
      <w:r>
        <w:rPr>
          <w:noProof/>
        </w:rPr>
        <w:t>Aurelius, 127, 132</w:t>
      </w:r>
    </w:p>
    <w:p w14:paraId="3C916969" w14:textId="77777777" w:rsidR="006009FA" w:rsidRDefault="006009FA">
      <w:pPr>
        <w:pStyle w:val="Index1"/>
        <w:tabs>
          <w:tab w:val="right" w:leader="dot" w:pos="3050"/>
        </w:tabs>
        <w:rPr>
          <w:noProof/>
        </w:rPr>
      </w:pPr>
      <w:r>
        <w:rPr>
          <w:noProof/>
        </w:rPr>
        <w:t>Autolycus, 12, 14, 191, 195, 197</w:t>
      </w:r>
    </w:p>
    <w:p w14:paraId="3185BEE2" w14:textId="77777777" w:rsidR="006009FA" w:rsidRDefault="006009FA">
      <w:pPr>
        <w:pStyle w:val="Index1"/>
        <w:tabs>
          <w:tab w:val="right" w:leader="dot" w:pos="3050"/>
        </w:tabs>
        <w:rPr>
          <w:noProof/>
        </w:rPr>
      </w:pPr>
      <w:r>
        <w:rPr>
          <w:noProof/>
        </w:rPr>
        <w:t>B</w:t>
      </w:r>
      <w:r>
        <w:rPr>
          <w:rFonts w:hint="eastAsia"/>
          <w:noProof/>
        </w:rPr>
        <w:t>æ</w:t>
      </w:r>
      <w:r>
        <w:rPr>
          <w:noProof/>
        </w:rPr>
        <w:t>lius, 181</w:t>
      </w:r>
    </w:p>
    <w:p w14:paraId="72F8A07E" w14:textId="77777777" w:rsidR="006009FA" w:rsidRDefault="006009FA">
      <w:pPr>
        <w:pStyle w:val="Index1"/>
        <w:tabs>
          <w:tab w:val="right" w:leader="dot" w:pos="3050"/>
        </w:tabs>
        <w:rPr>
          <w:noProof/>
        </w:rPr>
      </w:pPr>
      <w:r>
        <w:rPr>
          <w:noProof/>
        </w:rPr>
        <w:t>Baronius, 10, 134, 135, 136, 139, 178, 179</w:t>
      </w:r>
    </w:p>
    <w:p w14:paraId="4731EB0C" w14:textId="77777777" w:rsidR="006009FA" w:rsidRDefault="006009FA">
      <w:pPr>
        <w:pStyle w:val="Index1"/>
        <w:tabs>
          <w:tab w:val="right" w:leader="dot" w:pos="3050"/>
        </w:tabs>
        <w:rPr>
          <w:noProof/>
        </w:rPr>
      </w:pPr>
      <w:r>
        <w:rPr>
          <w:noProof/>
        </w:rPr>
        <w:t>Basil, 5, 75, 100, 121, 155, 166, 178</w:t>
      </w:r>
    </w:p>
    <w:p w14:paraId="61130D24" w14:textId="77777777" w:rsidR="006009FA" w:rsidRDefault="006009FA">
      <w:pPr>
        <w:pStyle w:val="Index1"/>
        <w:tabs>
          <w:tab w:val="right" w:leader="dot" w:pos="3050"/>
        </w:tabs>
        <w:rPr>
          <w:noProof/>
        </w:rPr>
      </w:pPr>
      <w:r>
        <w:rPr>
          <w:noProof/>
        </w:rPr>
        <w:t>Beraldus, 6</w:t>
      </w:r>
    </w:p>
    <w:p w14:paraId="32EBF97E" w14:textId="77777777" w:rsidR="006009FA" w:rsidRDefault="006009FA">
      <w:pPr>
        <w:pStyle w:val="Index1"/>
        <w:tabs>
          <w:tab w:val="right" w:leader="dot" w:pos="3050"/>
        </w:tabs>
        <w:rPr>
          <w:noProof/>
        </w:rPr>
      </w:pPr>
      <w:r>
        <w:rPr>
          <w:noProof/>
        </w:rPr>
        <w:t>Billius, 9</w:t>
      </w:r>
    </w:p>
    <w:p w14:paraId="21CF2154" w14:textId="77777777" w:rsidR="006009FA" w:rsidRDefault="006009FA">
      <w:pPr>
        <w:pStyle w:val="Index1"/>
        <w:tabs>
          <w:tab w:val="right" w:leader="dot" w:pos="3050"/>
        </w:tabs>
        <w:rPr>
          <w:noProof/>
        </w:rPr>
      </w:pPr>
      <w:r>
        <w:rPr>
          <w:noProof/>
        </w:rPr>
        <w:t>Blondellus, 161</w:t>
      </w:r>
    </w:p>
    <w:p w14:paraId="223E6317" w14:textId="77777777" w:rsidR="006009FA" w:rsidRDefault="006009FA">
      <w:pPr>
        <w:pStyle w:val="Index1"/>
        <w:tabs>
          <w:tab w:val="right" w:leader="dot" w:pos="3050"/>
        </w:tabs>
        <w:rPr>
          <w:noProof/>
        </w:rPr>
      </w:pPr>
      <w:r>
        <w:rPr>
          <w:noProof/>
        </w:rPr>
        <w:t>Briconetus, 6</w:t>
      </w:r>
    </w:p>
    <w:p w14:paraId="4E6C3F73" w14:textId="77777777" w:rsidR="006009FA" w:rsidRDefault="006009FA">
      <w:pPr>
        <w:pStyle w:val="Index1"/>
        <w:tabs>
          <w:tab w:val="right" w:leader="dot" w:pos="3050"/>
        </w:tabs>
        <w:rPr>
          <w:noProof/>
        </w:rPr>
      </w:pPr>
      <w:r>
        <w:rPr>
          <w:noProof/>
        </w:rPr>
        <w:t>Bunellus, 5</w:t>
      </w:r>
    </w:p>
    <w:p w14:paraId="29CAED4E" w14:textId="77777777" w:rsidR="006009FA" w:rsidRDefault="006009FA">
      <w:pPr>
        <w:pStyle w:val="Index1"/>
        <w:tabs>
          <w:tab w:val="right" w:leader="dot" w:pos="3050"/>
        </w:tabs>
        <w:rPr>
          <w:noProof/>
        </w:rPr>
      </w:pPr>
      <w:r>
        <w:rPr>
          <w:noProof/>
        </w:rPr>
        <w:t>Caianus, 115</w:t>
      </w:r>
    </w:p>
    <w:p w14:paraId="68FE8A99" w14:textId="77777777" w:rsidR="006009FA" w:rsidRDefault="006009FA">
      <w:pPr>
        <w:pStyle w:val="Index1"/>
        <w:tabs>
          <w:tab w:val="right" w:leader="dot" w:pos="3050"/>
        </w:tabs>
        <w:rPr>
          <w:noProof/>
        </w:rPr>
      </w:pPr>
      <w:r>
        <w:rPr>
          <w:noProof/>
        </w:rPr>
        <w:t>Caius, 140</w:t>
      </w:r>
    </w:p>
    <w:p w14:paraId="0817F171" w14:textId="77777777" w:rsidR="006009FA" w:rsidRDefault="006009FA">
      <w:pPr>
        <w:pStyle w:val="Index1"/>
        <w:tabs>
          <w:tab w:val="right" w:leader="dot" w:pos="3050"/>
        </w:tabs>
        <w:rPr>
          <w:noProof/>
        </w:rPr>
      </w:pPr>
      <w:r>
        <w:rPr>
          <w:noProof/>
        </w:rPr>
        <w:t>Cajetan, 85</w:t>
      </w:r>
    </w:p>
    <w:p w14:paraId="19963812" w14:textId="77777777" w:rsidR="006009FA" w:rsidRDefault="006009FA">
      <w:pPr>
        <w:pStyle w:val="Index1"/>
        <w:tabs>
          <w:tab w:val="right" w:leader="dot" w:pos="3050"/>
        </w:tabs>
        <w:rPr>
          <w:noProof/>
        </w:rPr>
      </w:pPr>
      <w:r>
        <w:rPr>
          <w:noProof/>
        </w:rPr>
        <w:lastRenderedPageBreak/>
        <w:t>Carpocrates, 175</w:t>
      </w:r>
    </w:p>
    <w:p w14:paraId="32F1D0F9" w14:textId="77777777" w:rsidR="006009FA" w:rsidRDefault="006009FA">
      <w:pPr>
        <w:pStyle w:val="Index1"/>
        <w:tabs>
          <w:tab w:val="right" w:leader="dot" w:pos="3050"/>
        </w:tabs>
        <w:rPr>
          <w:noProof/>
        </w:rPr>
      </w:pPr>
      <w:r>
        <w:rPr>
          <w:noProof/>
        </w:rPr>
        <w:t>Casimir, 109</w:t>
      </w:r>
    </w:p>
    <w:p w14:paraId="01EAB069" w14:textId="77777777" w:rsidR="006009FA" w:rsidRDefault="006009FA">
      <w:pPr>
        <w:pStyle w:val="Index1"/>
        <w:tabs>
          <w:tab w:val="right" w:leader="dot" w:pos="3050"/>
        </w:tabs>
        <w:rPr>
          <w:noProof/>
        </w:rPr>
      </w:pPr>
      <w:r>
        <w:rPr>
          <w:noProof/>
        </w:rPr>
        <w:t>Casimir Oudinus, 113</w:t>
      </w:r>
    </w:p>
    <w:p w14:paraId="237E585B" w14:textId="77777777" w:rsidR="006009FA" w:rsidRDefault="006009FA">
      <w:pPr>
        <w:pStyle w:val="Index1"/>
        <w:tabs>
          <w:tab w:val="right" w:leader="dot" w:pos="3050"/>
        </w:tabs>
        <w:rPr>
          <w:noProof/>
        </w:rPr>
      </w:pPr>
      <w:r>
        <w:rPr>
          <w:noProof/>
        </w:rPr>
        <w:t>Cassian, 163, 164</w:t>
      </w:r>
    </w:p>
    <w:p w14:paraId="411054FB" w14:textId="77777777" w:rsidR="006009FA" w:rsidRDefault="006009FA">
      <w:pPr>
        <w:pStyle w:val="Index1"/>
        <w:tabs>
          <w:tab w:val="right" w:leader="dot" w:pos="3050"/>
        </w:tabs>
        <w:rPr>
          <w:noProof/>
        </w:rPr>
      </w:pPr>
      <w:r>
        <w:rPr>
          <w:noProof/>
        </w:rPr>
        <w:t>Castalonio, 6</w:t>
      </w:r>
    </w:p>
    <w:p w14:paraId="2A98FB53" w14:textId="77777777" w:rsidR="006009FA" w:rsidRDefault="006009FA">
      <w:pPr>
        <w:pStyle w:val="Index1"/>
        <w:tabs>
          <w:tab w:val="right" w:leader="dot" w:pos="3050"/>
        </w:tabs>
        <w:rPr>
          <w:noProof/>
        </w:rPr>
      </w:pPr>
      <w:r>
        <w:rPr>
          <w:noProof/>
        </w:rPr>
        <w:t>Caveus, 143</w:t>
      </w:r>
    </w:p>
    <w:p w14:paraId="49EE6655" w14:textId="77777777" w:rsidR="006009FA" w:rsidRDefault="006009FA">
      <w:pPr>
        <w:pStyle w:val="Index1"/>
        <w:tabs>
          <w:tab w:val="right" w:leader="dot" w:pos="3050"/>
        </w:tabs>
        <w:rPr>
          <w:noProof/>
        </w:rPr>
      </w:pPr>
      <w:r>
        <w:rPr>
          <w:noProof/>
        </w:rPr>
        <w:t>Celsus, 28, 29, 123, 125</w:t>
      </w:r>
    </w:p>
    <w:p w14:paraId="59D8BA25" w14:textId="77777777" w:rsidR="006009FA" w:rsidRDefault="006009FA">
      <w:pPr>
        <w:pStyle w:val="Index1"/>
        <w:tabs>
          <w:tab w:val="right" w:leader="dot" w:pos="3050"/>
        </w:tabs>
        <w:rPr>
          <w:noProof/>
        </w:rPr>
      </w:pPr>
      <w:r>
        <w:rPr>
          <w:noProof/>
        </w:rPr>
        <w:t>Cerinthus, 175</w:t>
      </w:r>
    </w:p>
    <w:p w14:paraId="6A6A1387" w14:textId="77777777" w:rsidR="006009FA" w:rsidRDefault="006009FA">
      <w:pPr>
        <w:pStyle w:val="Index1"/>
        <w:tabs>
          <w:tab w:val="right" w:leader="dot" w:pos="3050"/>
        </w:tabs>
        <w:rPr>
          <w:noProof/>
        </w:rPr>
      </w:pPr>
      <w:r>
        <w:rPr>
          <w:noProof/>
        </w:rPr>
        <w:t>Chryserotus, 199</w:t>
      </w:r>
    </w:p>
    <w:p w14:paraId="027C0614" w14:textId="77777777" w:rsidR="006009FA" w:rsidRDefault="006009FA">
      <w:pPr>
        <w:pStyle w:val="Index1"/>
        <w:tabs>
          <w:tab w:val="right" w:leader="dot" w:pos="3050"/>
        </w:tabs>
        <w:rPr>
          <w:noProof/>
        </w:rPr>
      </w:pPr>
      <w:r>
        <w:rPr>
          <w:noProof/>
        </w:rPr>
        <w:t>Chrysostom, 5, 81, 177</w:t>
      </w:r>
    </w:p>
    <w:p w14:paraId="6B01CD2F" w14:textId="77777777" w:rsidR="006009FA" w:rsidRDefault="006009FA">
      <w:pPr>
        <w:pStyle w:val="Index1"/>
        <w:tabs>
          <w:tab w:val="right" w:leader="dot" w:pos="3050"/>
        </w:tabs>
        <w:rPr>
          <w:noProof/>
        </w:rPr>
      </w:pPr>
      <w:r>
        <w:rPr>
          <w:noProof/>
        </w:rPr>
        <w:t>Cicero, 28, 116</w:t>
      </w:r>
    </w:p>
    <w:p w14:paraId="3F296C74" w14:textId="77777777" w:rsidR="006009FA" w:rsidRDefault="006009FA">
      <w:pPr>
        <w:pStyle w:val="Index1"/>
        <w:tabs>
          <w:tab w:val="right" w:leader="dot" w:pos="3050"/>
        </w:tabs>
        <w:rPr>
          <w:noProof/>
        </w:rPr>
      </w:pPr>
      <w:r>
        <w:rPr>
          <w:noProof/>
        </w:rPr>
        <w:t>Claudius, 138</w:t>
      </w:r>
    </w:p>
    <w:p w14:paraId="33326998" w14:textId="77777777" w:rsidR="006009FA" w:rsidRDefault="006009FA">
      <w:pPr>
        <w:pStyle w:val="Index1"/>
        <w:tabs>
          <w:tab w:val="right" w:leader="dot" w:pos="3050"/>
        </w:tabs>
        <w:rPr>
          <w:noProof/>
        </w:rPr>
      </w:pPr>
      <w:r>
        <w:rPr>
          <w:noProof/>
        </w:rPr>
        <w:t>Clement, 42, 60, 164, 165, 167, 177, 178, 181, 189</w:t>
      </w:r>
    </w:p>
    <w:p w14:paraId="3009C2B0" w14:textId="77777777" w:rsidR="006009FA" w:rsidRDefault="006009FA">
      <w:pPr>
        <w:pStyle w:val="Index1"/>
        <w:tabs>
          <w:tab w:val="right" w:leader="dot" w:pos="3050"/>
        </w:tabs>
        <w:rPr>
          <w:noProof/>
        </w:rPr>
      </w:pPr>
      <w:r>
        <w:rPr>
          <w:noProof/>
        </w:rPr>
        <w:t>Clement of Alexandria, 30, 34, 42, 72, 126, 162, 163, 164, 165, 167, 178, 189</w:t>
      </w:r>
    </w:p>
    <w:p w14:paraId="017EA4F2" w14:textId="77777777" w:rsidR="006009FA" w:rsidRDefault="006009FA">
      <w:pPr>
        <w:pStyle w:val="Index1"/>
        <w:tabs>
          <w:tab w:val="right" w:leader="dot" w:pos="3050"/>
        </w:tabs>
        <w:rPr>
          <w:noProof/>
        </w:rPr>
      </w:pPr>
      <w:r>
        <w:rPr>
          <w:noProof/>
        </w:rPr>
        <w:t>Clericus, 21, 25, 28</w:t>
      </w:r>
    </w:p>
    <w:p w14:paraId="728A8492" w14:textId="77777777" w:rsidR="006009FA" w:rsidRDefault="006009FA">
      <w:pPr>
        <w:pStyle w:val="Index1"/>
        <w:tabs>
          <w:tab w:val="right" w:leader="dot" w:pos="3050"/>
        </w:tabs>
        <w:rPr>
          <w:noProof/>
        </w:rPr>
      </w:pPr>
      <w:r>
        <w:rPr>
          <w:noProof/>
        </w:rPr>
        <w:t>Commodianus, 99</w:t>
      </w:r>
    </w:p>
    <w:p w14:paraId="470CB8C5" w14:textId="77777777" w:rsidR="006009FA" w:rsidRDefault="006009FA">
      <w:pPr>
        <w:pStyle w:val="Index1"/>
        <w:tabs>
          <w:tab w:val="right" w:leader="dot" w:pos="3050"/>
        </w:tabs>
        <w:rPr>
          <w:noProof/>
        </w:rPr>
      </w:pPr>
      <w:r>
        <w:rPr>
          <w:noProof/>
        </w:rPr>
        <w:t>Commodus, 179</w:t>
      </w:r>
    </w:p>
    <w:p w14:paraId="4E1939F4" w14:textId="77777777" w:rsidR="006009FA" w:rsidRDefault="006009FA">
      <w:pPr>
        <w:pStyle w:val="Index1"/>
        <w:tabs>
          <w:tab w:val="right" w:leader="dot" w:pos="3050"/>
        </w:tabs>
        <w:rPr>
          <w:noProof/>
        </w:rPr>
      </w:pPr>
      <w:r>
        <w:rPr>
          <w:noProof/>
        </w:rPr>
        <w:t>Conrad, 12</w:t>
      </w:r>
    </w:p>
    <w:p w14:paraId="38D11E0F" w14:textId="77777777" w:rsidR="006009FA" w:rsidRDefault="006009FA">
      <w:pPr>
        <w:pStyle w:val="Index1"/>
        <w:tabs>
          <w:tab w:val="right" w:leader="dot" w:pos="3050"/>
        </w:tabs>
        <w:rPr>
          <w:noProof/>
        </w:rPr>
      </w:pPr>
      <w:r>
        <w:rPr>
          <w:noProof/>
        </w:rPr>
        <w:t>Coriscus, 22</w:t>
      </w:r>
    </w:p>
    <w:p w14:paraId="497AE5D0" w14:textId="77777777" w:rsidR="006009FA" w:rsidRDefault="006009FA">
      <w:pPr>
        <w:pStyle w:val="Index1"/>
        <w:tabs>
          <w:tab w:val="right" w:leader="dot" w:pos="3050"/>
        </w:tabs>
        <w:rPr>
          <w:noProof/>
        </w:rPr>
      </w:pPr>
      <w:r>
        <w:rPr>
          <w:noProof/>
        </w:rPr>
        <w:t>Cornelius, 123, 127</w:t>
      </w:r>
    </w:p>
    <w:p w14:paraId="0ACF3787" w14:textId="77777777" w:rsidR="006009FA" w:rsidRDefault="006009FA">
      <w:pPr>
        <w:pStyle w:val="Index1"/>
        <w:tabs>
          <w:tab w:val="right" w:leader="dot" w:pos="3050"/>
        </w:tabs>
        <w:rPr>
          <w:noProof/>
        </w:rPr>
      </w:pPr>
      <w:r>
        <w:rPr>
          <w:noProof/>
        </w:rPr>
        <w:t>Cyprian, 100</w:t>
      </w:r>
    </w:p>
    <w:p w14:paraId="4A91FD26" w14:textId="77777777" w:rsidR="006009FA" w:rsidRDefault="006009FA">
      <w:pPr>
        <w:pStyle w:val="Index1"/>
        <w:tabs>
          <w:tab w:val="right" w:leader="dot" w:pos="3050"/>
        </w:tabs>
        <w:rPr>
          <w:noProof/>
        </w:rPr>
      </w:pPr>
      <w:r>
        <w:rPr>
          <w:noProof/>
        </w:rPr>
        <w:t>Cyrenius, 55</w:t>
      </w:r>
    </w:p>
    <w:p w14:paraId="5DA9831A" w14:textId="77777777" w:rsidR="006009FA" w:rsidRDefault="006009FA">
      <w:pPr>
        <w:pStyle w:val="Index1"/>
        <w:tabs>
          <w:tab w:val="right" w:leader="dot" w:pos="3050"/>
        </w:tabs>
        <w:rPr>
          <w:noProof/>
        </w:rPr>
      </w:pPr>
      <w:r>
        <w:rPr>
          <w:noProof/>
        </w:rPr>
        <w:t>Cyril of Alexandria, 30</w:t>
      </w:r>
    </w:p>
    <w:p w14:paraId="4B1776A7" w14:textId="77777777" w:rsidR="006009FA" w:rsidRDefault="006009FA">
      <w:pPr>
        <w:pStyle w:val="Index1"/>
        <w:tabs>
          <w:tab w:val="right" w:leader="dot" w:pos="3050"/>
        </w:tabs>
        <w:rPr>
          <w:noProof/>
        </w:rPr>
      </w:pPr>
      <w:r>
        <w:rPr>
          <w:noProof/>
        </w:rPr>
        <w:t>Cyril of Jerusalem, 138</w:t>
      </w:r>
    </w:p>
    <w:p w14:paraId="5E2FC852" w14:textId="77777777" w:rsidR="006009FA" w:rsidRDefault="006009FA">
      <w:pPr>
        <w:pStyle w:val="Index1"/>
        <w:tabs>
          <w:tab w:val="right" w:leader="dot" w:pos="3050"/>
        </w:tabs>
        <w:rPr>
          <w:noProof/>
        </w:rPr>
      </w:pPr>
      <w:r>
        <w:rPr>
          <w:noProof/>
        </w:rPr>
        <w:t>Deacon, 147</w:t>
      </w:r>
    </w:p>
    <w:p w14:paraId="6A24E1F4" w14:textId="77777777" w:rsidR="006009FA" w:rsidRDefault="006009FA">
      <w:pPr>
        <w:pStyle w:val="Index1"/>
        <w:tabs>
          <w:tab w:val="right" w:leader="dot" w:pos="3050"/>
        </w:tabs>
        <w:rPr>
          <w:noProof/>
        </w:rPr>
      </w:pPr>
      <w:r>
        <w:rPr>
          <w:noProof/>
        </w:rPr>
        <w:t>Deuteronomy, 35</w:t>
      </w:r>
    </w:p>
    <w:p w14:paraId="23FD4AA0" w14:textId="77777777" w:rsidR="006009FA" w:rsidRDefault="006009FA">
      <w:pPr>
        <w:pStyle w:val="Index1"/>
        <w:tabs>
          <w:tab w:val="right" w:leader="dot" w:pos="3050"/>
        </w:tabs>
        <w:rPr>
          <w:noProof/>
        </w:rPr>
      </w:pPr>
      <w:r>
        <w:rPr>
          <w:noProof/>
        </w:rPr>
        <w:t>Didymus, 101, 177</w:t>
      </w:r>
    </w:p>
    <w:p w14:paraId="47248EB4" w14:textId="77777777" w:rsidR="006009FA" w:rsidRDefault="006009FA">
      <w:pPr>
        <w:pStyle w:val="Index1"/>
        <w:tabs>
          <w:tab w:val="right" w:leader="dot" w:pos="3050"/>
        </w:tabs>
        <w:rPr>
          <w:noProof/>
        </w:rPr>
      </w:pPr>
      <w:r>
        <w:rPr>
          <w:noProof/>
        </w:rPr>
        <w:t>Diocletian, 179</w:t>
      </w:r>
    </w:p>
    <w:p w14:paraId="60835A2B" w14:textId="77777777" w:rsidR="006009FA" w:rsidRDefault="006009FA">
      <w:pPr>
        <w:pStyle w:val="Index1"/>
        <w:tabs>
          <w:tab w:val="right" w:leader="dot" w:pos="3050"/>
        </w:tabs>
        <w:rPr>
          <w:noProof/>
        </w:rPr>
      </w:pPr>
      <w:r>
        <w:rPr>
          <w:noProof/>
        </w:rPr>
        <w:t>Diognetus, 56, 120, 122</w:t>
      </w:r>
    </w:p>
    <w:p w14:paraId="2A27081A" w14:textId="77777777" w:rsidR="006009FA" w:rsidRDefault="006009FA">
      <w:pPr>
        <w:pStyle w:val="Index1"/>
        <w:tabs>
          <w:tab w:val="right" w:leader="dot" w:pos="3050"/>
        </w:tabs>
        <w:rPr>
          <w:noProof/>
        </w:rPr>
      </w:pPr>
      <w:r>
        <w:rPr>
          <w:noProof/>
        </w:rPr>
        <w:t>Dionysius, 6, 25</w:t>
      </w:r>
    </w:p>
    <w:p w14:paraId="366E972D" w14:textId="77777777" w:rsidR="006009FA" w:rsidRDefault="006009FA">
      <w:pPr>
        <w:pStyle w:val="Index1"/>
        <w:tabs>
          <w:tab w:val="right" w:leader="dot" w:pos="3050"/>
        </w:tabs>
        <w:rPr>
          <w:noProof/>
        </w:rPr>
      </w:pPr>
      <w:r>
        <w:rPr>
          <w:noProof/>
        </w:rPr>
        <w:t>Eleutherus, 185, 197</w:t>
      </w:r>
    </w:p>
    <w:p w14:paraId="4BAA68FF" w14:textId="77777777" w:rsidR="006009FA" w:rsidRDefault="006009FA">
      <w:pPr>
        <w:pStyle w:val="Index1"/>
        <w:tabs>
          <w:tab w:val="right" w:leader="dot" w:pos="3050"/>
        </w:tabs>
        <w:rPr>
          <w:noProof/>
        </w:rPr>
      </w:pPr>
      <w:r>
        <w:rPr>
          <w:noProof/>
        </w:rPr>
        <w:t>Epiphanius, 85, 103, 104, 109, 155, 160, 165, 167, 173, 174, 175, 176</w:t>
      </w:r>
    </w:p>
    <w:p w14:paraId="638ADBB2" w14:textId="77777777" w:rsidR="006009FA" w:rsidRDefault="006009FA">
      <w:pPr>
        <w:pStyle w:val="Index1"/>
        <w:tabs>
          <w:tab w:val="right" w:leader="dot" w:pos="3050"/>
        </w:tabs>
        <w:rPr>
          <w:noProof/>
        </w:rPr>
      </w:pPr>
      <w:r>
        <w:rPr>
          <w:noProof/>
        </w:rPr>
        <w:t>Erastus, 22</w:t>
      </w:r>
    </w:p>
    <w:p w14:paraId="611B2C6E" w14:textId="77777777" w:rsidR="006009FA" w:rsidRDefault="006009FA">
      <w:pPr>
        <w:pStyle w:val="Index1"/>
        <w:tabs>
          <w:tab w:val="right" w:leader="dot" w:pos="3050"/>
        </w:tabs>
        <w:rPr>
          <w:noProof/>
        </w:rPr>
      </w:pPr>
      <w:r>
        <w:rPr>
          <w:noProof/>
        </w:rPr>
        <w:t>Euphrasius the, 120</w:t>
      </w:r>
    </w:p>
    <w:p w14:paraId="6A845FF6" w14:textId="77777777" w:rsidR="006009FA" w:rsidRDefault="006009FA">
      <w:pPr>
        <w:pStyle w:val="Index1"/>
        <w:tabs>
          <w:tab w:val="right" w:leader="dot" w:pos="3050"/>
        </w:tabs>
        <w:rPr>
          <w:noProof/>
        </w:rPr>
      </w:pPr>
      <w:r>
        <w:rPr>
          <w:noProof/>
        </w:rPr>
        <w:t>Eusebius, 17, 26, 59, 77, 78, 85, 99, 107, 108, 109, 110, 111, 114, 115, 116, 117, 119, 120, 121, 125, 126, 127, 128, 130, 131, 132, 133, 134, 138, 140, 143, 150, 153, 154, 156, 157, 159, 160, 162, 165, 167, 168, 172, 173, 175, 177, 178, 185, 189, 190, 192, 196, 198</w:t>
      </w:r>
    </w:p>
    <w:p w14:paraId="73623EB3" w14:textId="77777777" w:rsidR="006009FA" w:rsidRDefault="006009FA">
      <w:pPr>
        <w:pStyle w:val="Index1"/>
        <w:tabs>
          <w:tab w:val="right" w:leader="dot" w:pos="3050"/>
        </w:tabs>
        <w:rPr>
          <w:noProof/>
        </w:rPr>
      </w:pPr>
      <w:r>
        <w:rPr>
          <w:noProof/>
        </w:rPr>
        <w:t>Eusebius of Caesarea, 30, 36</w:t>
      </w:r>
    </w:p>
    <w:p w14:paraId="1B0C4D2B" w14:textId="77777777" w:rsidR="006009FA" w:rsidRDefault="006009FA">
      <w:pPr>
        <w:pStyle w:val="Index1"/>
        <w:tabs>
          <w:tab w:val="right" w:leader="dot" w:pos="3050"/>
        </w:tabs>
        <w:rPr>
          <w:noProof/>
        </w:rPr>
      </w:pPr>
      <w:r>
        <w:rPr>
          <w:noProof/>
        </w:rPr>
        <w:t>Eusebius of Emesa, 101</w:t>
      </w:r>
    </w:p>
    <w:p w14:paraId="41F93314" w14:textId="77777777" w:rsidR="006009FA" w:rsidRDefault="006009FA">
      <w:pPr>
        <w:pStyle w:val="Index1"/>
        <w:tabs>
          <w:tab w:val="right" w:leader="dot" w:pos="3050"/>
        </w:tabs>
        <w:rPr>
          <w:noProof/>
        </w:rPr>
      </w:pPr>
      <w:r>
        <w:rPr>
          <w:noProof/>
        </w:rPr>
        <w:t>Eusebius Renaudot, 97</w:t>
      </w:r>
    </w:p>
    <w:p w14:paraId="1029528C" w14:textId="77777777" w:rsidR="006009FA" w:rsidRDefault="006009FA">
      <w:pPr>
        <w:pStyle w:val="Index1"/>
        <w:tabs>
          <w:tab w:val="right" w:leader="dot" w:pos="3050"/>
        </w:tabs>
        <w:rPr>
          <w:noProof/>
        </w:rPr>
      </w:pPr>
      <w:r>
        <w:rPr>
          <w:noProof/>
        </w:rPr>
        <w:t>Eusebius,, 75</w:t>
      </w:r>
    </w:p>
    <w:p w14:paraId="1C5074E4" w14:textId="77777777" w:rsidR="006009FA" w:rsidRDefault="006009FA">
      <w:pPr>
        <w:pStyle w:val="Index1"/>
        <w:tabs>
          <w:tab w:val="right" w:leader="dot" w:pos="3050"/>
        </w:tabs>
        <w:rPr>
          <w:noProof/>
        </w:rPr>
      </w:pPr>
      <w:r>
        <w:rPr>
          <w:noProof/>
        </w:rPr>
        <w:t>Euthymius, 68</w:t>
      </w:r>
    </w:p>
    <w:p w14:paraId="55A112DD" w14:textId="77777777" w:rsidR="006009FA" w:rsidRDefault="006009FA">
      <w:pPr>
        <w:pStyle w:val="Index1"/>
        <w:tabs>
          <w:tab w:val="right" w:leader="dot" w:pos="3050"/>
        </w:tabs>
        <w:rPr>
          <w:noProof/>
        </w:rPr>
      </w:pPr>
      <w:r>
        <w:rPr>
          <w:noProof/>
        </w:rPr>
        <w:t>Eutychius, 196</w:t>
      </w:r>
    </w:p>
    <w:p w14:paraId="1F5D7F6E" w14:textId="77777777" w:rsidR="006009FA" w:rsidRDefault="006009FA">
      <w:pPr>
        <w:pStyle w:val="Index1"/>
        <w:tabs>
          <w:tab w:val="right" w:leader="dot" w:pos="3050"/>
        </w:tabs>
        <w:rPr>
          <w:noProof/>
        </w:rPr>
      </w:pPr>
      <w:r>
        <w:rPr>
          <w:noProof/>
        </w:rPr>
        <w:t>Ezekiel, 52</w:t>
      </w:r>
    </w:p>
    <w:p w14:paraId="60EE5BF3" w14:textId="77777777" w:rsidR="006009FA" w:rsidRDefault="006009FA">
      <w:pPr>
        <w:pStyle w:val="Index1"/>
        <w:tabs>
          <w:tab w:val="right" w:leader="dot" w:pos="3050"/>
        </w:tabs>
        <w:rPr>
          <w:noProof/>
        </w:rPr>
      </w:pPr>
      <w:r>
        <w:rPr>
          <w:noProof/>
        </w:rPr>
        <w:t>Fabius, 187</w:t>
      </w:r>
    </w:p>
    <w:p w14:paraId="334A73F0" w14:textId="77777777" w:rsidR="006009FA" w:rsidRDefault="006009FA">
      <w:pPr>
        <w:pStyle w:val="Index1"/>
        <w:tabs>
          <w:tab w:val="right" w:leader="dot" w:pos="3050"/>
        </w:tabs>
        <w:rPr>
          <w:noProof/>
        </w:rPr>
      </w:pPr>
      <w:r>
        <w:rPr>
          <w:noProof/>
        </w:rPr>
        <w:t>Fabricius, 5, 14, 181, 182</w:t>
      </w:r>
    </w:p>
    <w:p w14:paraId="4A4E7EED" w14:textId="77777777" w:rsidR="006009FA" w:rsidRDefault="006009FA">
      <w:pPr>
        <w:pStyle w:val="Index1"/>
        <w:tabs>
          <w:tab w:val="right" w:leader="dot" w:pos="3050"/>
        </w:tabs>
        <w:rPr>
          <w:noProof/>
        </w:rPr>
      </w:pPr>
      <w:r>
        <w:rPr>
          <w:noProof/>
        </w:rPr>
        <w:t>Felix, 9, 123</w:t>
      </w:r>
    </w:p>
    <w:p w14:paraId="4068218A" w14:textId="77777777" w:rsidR="006009FA" w:rsidRDefault="006009FA">
      <w:pPr>
        <w:pStyle w:val="Index1"/>
        <w:tabs>
          <w:tab w:val="right" w:leader="dot" w:pos="3050"/>
        </w:tabs>
        <w:rPr>
          <w:noProof/>
        </w:rPr>
      </w:pPr>
      <w:r>
        <w:rPr>
          <w:noProof/>
        </w:rPr>
        <w:t>Firmilian, 100</w:t>
      </w:r>
    </w:p>
    <w:p w14:paraId="75DB83FF" w14:textId="77777777" w:rsidR="006009FA" w:rsidRDefault="006009FA">
      <w:pPr>
        <w:pStyle w:val="Index1"/>
        <w:tabs>
          <w:tab w:val="right" w:leader="dot" w:pos="3050"/>
        </w:tabs>
        <w:rPr>
          <w:noProof/>
        </w:rPr>
      </w:pPr>
      <w:r>
        <w:rPr>
          <w:noProof/>
        </w:rPr>
        <w:t>Franciscus Picus, 9</w:t>
      </w:r>
    </w:p>
    <w:p w14:paraId="0163B7D0" w14:textId="77777777" w:rsidR="006009FA" w:rsidRDefault="006009FA">
      <w:pPr>
        <w:pStyle w:val="Index1"/>
        <w:tabs>
          <w:tab w:val="right" w:leader="dot" w:pos="3050"/>
        </w:tabs>
        <w:rPr>
          <w:noProof/>
        </w:rPr>
      </w:pPr>
      <w:r>
        <w:rPr>
          <w:noProof/>
        </w:rPr>
        <w:t>Frisius, 12</w:t>
      </w:r>
    </w:p>
    <w:p w14:paraId="698F68DF" w14:textId="77777777" w:rsidR="006009FA" w:rsidRDefault="006009FA">
      <w:pPr>
        <w:pStyle w:val="Index1"/>
        <w:tabs>
          <w:tab w:val="right" w:leader="dot" w:pos="3050"/>
        </w:tabs>
        <w:rPr>
          <w:noProof/>
        </w:rPr>
      </w:pPr>
      <w:r>
        <w:rPr>
          <w:noProof/>
        </w:rPr>
        <w:t>Gelenius, 7</w:t>
      </w:r>
    </w:p>
    <w:p w14:paraId="3DB729B3" w14:textId="77777777" w:rsidR="006009FA" w:rsidRDefault="006009FA">
      <w:pPr>
        <w:pStyle w:val="Index1"/>
        <w:tabs>
          <w:tab w:val="right" w:leader="dot" w:pos="3050"/>
        </w:tabs>
        <w:rPr>
          <w:noProof/>
        </w:rPr>
      </w:pPr>
      <w:r>
        <w:rPr>
          <w:noProof/>
        </w:rPr>
        <w:lastRenderedPageBreak/>
        <w:t>Grabio, 141</w:t>
      </w:r>
    </w:p>
    <w:p w14:paraId="36C7928B" w14:textId="77777777" w:rsidR="006009FA" w:rsidRDefault="006009FA">
      <w:pPr>
        <w:pStyle w:val="Index1"/>
        <w:tabs>
          <w:tab w:val="right" w:leader="dot" w:pos="3050"/>
        </w:tabs>
        <w:rPr>
          <w:noProof/>
        </w:rPr>
      </w:pPr>
      <w:r>
        <w:rPr>
          <w:noProof/>
        </w:rPr>
        <w:t>Grabius, 130, 143</w:t>
      </w:r>
    </w:p>
    <w:p w14:paraId="214DA229" w14:textId="77777777" w:rsidR="006009FA" w:rsidRDefault="006009FA">
      <w:pPr>
        <w:pStyle w:val="Index1"/>
        <w:tabs>
          <w:tab w:val="right" w:leader="dot" w:pos="3050"/>
        </w:tabs>
        <w:rPr>
          <w:noProof/>
        </w:rPr>
      </w:pPr>
      <w:r>
        <w:rPr>
          <w:noProof/>
        </w:rPr>
        <w:t>Gregory, 41, 138</w:t>
      </w:r>
    </w:p>
    <w:p w14:paraId="3A52B332" w14:textId="77777777" w:rsidR="006009FA" w:rsidRDefault="006009FA">
      <w:pPr>
        <w:pStyle w:val="Index1"/>
        <w:tabs>
          <w:tab w:val="right" w:leader="dot" w:pos="3050"/>
        </w:tabs>
        <w:rPr>
          <w:noProof/>
        </w:rPr>
      </w:pPr>
      <w:r>
        <w:rPr>
          <w:noProof/>
        </w:rPr>
        <w:t>Gregory Nazianzen, 5, 41</w:t>
      </w:r>
    </w:p>
    <w:p w14:paraId="11B156C4" w14:textId="77777777" w:rsidR="006009FA" w:rsidRDefault="006009FA">
      <w:pPr>
        <w:pStyle w:val="Index1"/>
        <w:tabs>
          <w:tab w:val="right" w:leader="dot" w:pos="3050"/>
        </w:tabs>
        <w:rPr>
          <w:noProof/>
        </w:rPr>
      </w:pPr>
      <w:r>
        <w:rPr>
          <w:noProof/>
        </w:rPr>
        <w:t>Gregory of Nazianzus, 33</w:t>
      </w:r>
    </w:p>
    <w:p w14:paraId="5B5A4942" w14:textId="77777777" w:rsidR="006009FA" w:rsidRDefault="006009FA">
      <w:pPr>
        <w:pStyle w:val="Index1"/>
        <w:tabs>
          <w:tab w:val="right" w:leader="dot" w:pos="3050"/>
        </w:tabs>
        <w:rPr>
          <w:noProof/>
        </w:rPr>
      </w:pPr>
      <w:r>
        <w:rPr>
          <w:noProof/>
        </w:rPr>
        <w:t>Gregory Thaumaturgus, 5</w:t>
      </w:r>
    </w:p>
    <w:p w14:paraId="31B961B0" w14:textId="77777777" w:rsidR="006009FA" w:rsidRDefault="006009FA">
      <w:pPr>
        <w:pStyle w:val="Index1"/>
        <w:tabs>
          <w:tab w:val="right" w:leader="dot" w:pos="3050"/>
        </w:tabs>
        <w:rPr>
          <w:noProof/>
        </w:rPr>
      </w:pPr>
      <w:r>
        <w:rPr>
          <w:noProof/>
        </w:rPr>
        <w:t>Hadrian, 104, 107, 108, 113, 126, 127, 129, 130, 131, 133, 160</w:t>
      </w:r>
    </w:p>
    <w:p w14:paraId="2FE56851" w14:textId="77777777" w:rsidR="006009FA" w:rsidRDefault="006009FA">
      <w:pPr>
        <w:pStyle w:val="Index1"/>
        <w:tabs>
          <w:tab w:val="right" w:leader="dot" w:pos="3050"/>
        </w:tabs>
        <w:rPr>
          <w:noProof/>
        </w:rPr>
      </w:pPr>
      <w:r>
        <w:rPr>
          <w:noProof/>
        </w:rPr>
        <w:t>Halloixius, 106, 154</w:t>
      </w:r>
    </w:p>
    <w:p w14:paraId="0EDFBAEE" w14:textId="77777777" w:rsidR="006009FA" w:rsidRDefault="006009FA">
      <w:pPr>
        <w:pStyle w:val="Index1"/>
        <w:tabs>
          <w:tab w:val="right" w:leader="dot" w:pos="3050"/>
        </w:tabs>
        <w:rPr>
          <w:noProof/>
        </w:rPr>
      </w:pPr>
      <w:r>
        <w:rPr>
          <w:noProof/>
        </w:rPr>
        <w:t>Hegesippus, 127</w:t>
      </w:r>
    </w:p>
    <w:p w14:paraId="3812E539" w14:textId="77777777" w:rsidR="006009FA" w:rsidRDefault="006009FA">
      <w:pPr>
        <w:pStyle w:val="Index1"/>
        <w:tabs>
          <w:tab w:val="right" w:leader="dot" w:pos="3050"/>
        </w:tabs>
        <w:rPr>
          <w:noProof/>
        </w:rPr>
      </w:pPr>
      <w:r>
        <w:rPr>
          <w:noProof/>
        </w:rPr>
        <w:t>Heraclas, 110</w:t>
      </w:r>
    </w:p>
    <w:p w14:paraId="47F08E5A" w14:textId="77777777" w:rsidR="006009FA" w:rsidRDefault="006009FA">
      <w:pPr>
        <w:pStyle w:val="Index1"/>
        <w:tabs>
          <w:tab w:val="right" w:leader="dot" w:pos="3050"/>
        </w:tabs>
        <w:rPr>
          <w:noProof/>
        </w:rPr>
      </w:pPr>
      <w:r>
        <w:rPr>
          <w:noProof/>
        </w:rPr>
        <w:t>Heraclitus, 46, 54, 55, 150</w:t>
      </w:r>
    </w:p>
    <w:p w14:paraId="7291F9F2" w14:textId="77777777" w:rsidR="006009FA" w:rsidRDefault="006009FA">
      <w:pPr>
        <w:pStyle w:val="Index1"/>
        <w:tabs>
          <w:tab w:val="right" w:leader="dot" w:pos="3050"/>
        </w:tabs>
        <w:rPr>
          <w:noProof/>
        </w:rPr>
      </w:pPr>
      <w:r>
        <w:rPr>
          <w:noProof/>
        </w:rPr>
        <w:t>Hermias, 4, 10, 16</w:t>
      </w:r>
    </w:p>
    <w:p w14:paraId="652E9E4A" w14:textId="77777777" w:rsidR="006009FA" w:rsidRDefault="006009FA">
      <w:pPr>
        <w:pStyle w:val="Index1"/>
        <w:tabs>
          <w:tab w:val="right" w:leader="dot" w:pos="3050"/>
        </w:tabs>
        <w:rPr>
          <w:noProof/>
        </w:rPr>
      </w:pPr>
      <w:r>
        <w:rPr>
          <w:noProof/>
        </w:rPr>
        <w:t>Hilary, 85, 86, 121</w:t>
      </w:r>
    </w:p>
    <w:p w14:paraId="487B73F2" w14:textId="77777777" w:rsidR="006009FA" w:rsidRDefault="006009FA">
      <w:pPr>
        <w:pStyle w:val="Index1"/>
        <w:tabs>
          <w:tab w:val="right" w:leader="dot" w:pos="3050"/>
        </w:tabs>
        <w:rPr>
          <w:noProof/>
        </w:rPr>
      </w:pPr>
      <w:r>
        <w:rPr>
          <w:noProof/>
        </w:rPr>
        <w:t>I, 192</w:t>
      </w:r>
    </w:p>
    <w:p w14:paraId="431BD671" w14:textId="77777777" w:rsidR="006009FA" w:rsidRDefault="006009FA">
      <w:pPr>
        <w:pStyle w:val="Index1"/>
        <w:tabs>
          <w:tab w:val="right" w:leader="dot" w:pos="3050"/>
        </w:tabs>
        <w:rPr>
          <w:noProof/>
        </w:rPr>
      </w:pPr>
      <w:r>
        <w:rPr>
          <w:noProof/>
        </w:rPr>
        <w:t>I. Jurius, 34</w:t>
      </w:r>
    </w:p>
    <w:p w14:paraId="1DFE8A7D" w14:textId="77777777" w:rsidR="006009FA" w:rsidRDefault="006009FA">
      <w:pPr>
        <w:pStyle w:val="Index1"/>
        <w:tabs>
          <w:tab w:val="right" w:leader="dot" w:pos="3050"/>
        </w:tabs>
        <w:rPr>
          <w:noProof/>
        </w:rPr>
      </w:pPr>
      <w:r>
        <w:rPr>
          <w:noProof/>
        </w:rPr>
        <w:t>Ignatius, 195</w:t>
      </w:r>
    </w:p>
    <w:p w14:paraId="4913A44B" w14:textId="77777777" w:rsidR="006009FA" w:rsidRDefault="006009FA">
      <w:pPr>
        <w:pStyle w:val="Index1"/>
        <w:tabs>
          <w:tab w:val="right" w:leader="dot" w:pos="3050"/>
        </w:tabs>
        <w:rPr>
          <w:noProof/>
        </w:rPr>
      </w:pPr>
      <w:r>
        <w:rPr>
          <w:noProof/>
        </w:rPr>
        <w:t>III, 33, 42, 45, 59, 104</w:t>
      </w:r>
    </w:p>
    <w:p w14:paraId="1192A4A5" w14:textId="77777777" w:rsidR="006009FA" w:rsidRDefault="006009FA">
      <w:pPr>
        <w:pStyle w:val="Index1"/>
        <w:tabs>
          <w:tab w:val="right" w:leader="dot" w:pos="3050"/>
        </w:tabs>
        <w:rPr>
          <w:noProof/>
        </w:rPr>
      </w:pPr>
      <w:r>
        <w:rPr>
          <w:noProof/>
        </w:rPr>
        <w:t>Irenaeus, 61, 64, 65, 66, 84, 85, 87, 89, 92, 93, 99, 115, 120, 126, 159, 160, 162, 163, 165, 167, 175, 189, 196, 198</w:t>
      </w:r>
    </w:p>
    <w:p w14:paraId="41C307C9" w14:textId="77777777" w:rsidR="006009FA" w:rsidRDefault="006009FA">
      <w:pPr>
        <w:pStyle w:val="Index1"/>
        <w:tabs>
          <w:tab w:val="right" w:leader="dot" w:pos="3050"/>
        </w:tabs>
        <w:rPr>
          <w:noProof/>
        </w:rPr>
      </w:pPr>
      <w:r>
        <w:rPr>
          <w:noProof/>
        </w:rPr>
        <w:t>Isaiah, 47, 50, 82, 125, 145</w:t>
      </w:r>
    </w:p>
    <w:p w14:paraId="720E8C8C" w14:textId="77777777" w:rsidR="006009FA" w:rsidRDefault="006009FA">
      <w:pPr>
        <w:pStyle w:val="Index1"/>
        <w:tabs>
          <w:tab w:val="right" w:leader="dot" w:pos="3050"/>
        </w:tabs>
        <w:rPr>
          <w:noProof/>
        </w:rPr>
      </w:pPr>
      <w:r>
        <w:rPr>
          <w:noProof/>
        </w:rPr>
        <w:t>Isidore, 85</w:t>
      </w:r>
    </w:p>
    <w:p w14:paraId="3332D198" w14:textId="77777777" w:rsidR="006009FA" w:rsidRDefault="006009FA">
      <w:pPr>
        <w:pStyle w:val="Index1"/>
        <w:tabs>
          <w:tab w:val="right" w:leader="dot" w:pos="3050"/>
        </w:tabs>
        <w:rPr>
          <w:noProof/>
        </w:rPr>
      </w:pPr>
      <w:r>
        <w:rPr>
          <w:noProof/>
        </w:rPr>
        <w:t>Isidore of Pelusium, 36, 85</w:t>
      </w:r>
    </w:p>
    <w:p w14:paraId="3F9F7C13" w14:textId="77777777" w:rsidR="006009FA" w:rsidRDefault="006009FA">
      <w:pPr>
        <w:pStyle w:val="Index1"/>
        <w:tabs>
          <w:tab w:val="right" w:leader="dot" w:pos="3050"/>
        </w:tabs>
        <w:rPr>
          <w:noProof/>
        </w:rPr>
      </w:pPr>
      <w:r>
        <w:rPr>
          <w:noProof/>
        </w:rPr>
        <w:t>IV, 105, 119, 186</w:t>
      </w:r>
    </w:p>
    <w:p w14:paraId="6467C628" w14:textId="77777777" w:rsidR="006009FA" w:rsidRDefault="006009FA">
      <w:pPr>
        <w:pStyle w:val="Index1"/>
        <w:tabs>
          <w:tab w:val="right" w:leader="dot" w:pos="3050"/>
        </w:tabs>
        <w:rPr>
          <w:noProof/>
        </w:rPr>
      </w:pPr>
      <w:r>
        <w:rPr>
          <w:noProof/>
        </w:rPr>
        <w:t>Jerome, 33, 34, 60, 90, 110, 114, 115, 118, 133, 156, 163, 164, 167, 168, 172, 174, 175, 180, 186, 194, 198</w:t>
      </w:r>
    </w:p>
    <w:p w14:paraId="7C29E3E3" w14:textId="77777777" w:rsidR="006009FA" w:rsidRDefault="006009FA">
      <w:pPr>
        <w:pStyle w:val="Index1"/>
        <w:tabs>
          <w:tab w:val="right" w:leader="dot" w:pos="3050"/>
        </w:tabs>
        <w:rPr>
          <w:noProof/>
        </w:rPr>
      </w:pPr>
      <w:r>
        <w:rPr>
          <w:noProof/>
        </w:rPr>
        <w:t>Joachim, 5</w:t>
      </w:r>
    </w:p>
    <w:p w14:paraId="6E18893A" w14:textId="77777777" w:rsidR="006009FA" w:rsidRDefault="006009FA">
      <w:pPr>
        <w:pStyle w:val="Index1"/>
        <w:tabs>
          <w:tab w:val="right" w:leader="dot" w:pos="3050"/>
        </w:tabs>
        <w:rPr>
          <w:noProof/>
        </w:rPr>
      </w:pPr>
      <w:r>
        <w:rPr>
          <w:noProof/>
        </w:rPr>
        <w:t>Johannes, 14</w:t>
      </w:r>
    </w:p>
    <w:p w14:paraId="3E556963" w14:textId="77777777" w:rsidR="006009FA" w:rsidRDefault="006009FA">
      <w:pPr>
        <w:pStyle w:val="Index1"/>
        <w:tabs>
          <w:tab w:val="right" w:leader="dot" w:pos="3050"/>
        </w:tabs>
        <w:rPr>
          <w:noProof/>
        </w:rPr>
      </w:pPr>
      <w:r>
        <w:rPr>
          <w:noProof/>
        </w:rPr>
        <w:t>Johannes Frisius, 12</w:t>
      </w:r>
    </w:p>
    <w:p w14:paraId="6DB8C36B" w14:textId="77777777" w:rsidR="006009FA" w:rsidRDefault="006009FA">
      <w:pPr>
        <w:pStyle w:val="Index1"/>
        <w:tabs>
          <w:tab w:val="right" w:leader="dot" w:pos="3050"/>
        </w:tabs>
        <w:rPr>
          <w:noProof/>
        </w:rPr>
      </w:pPr>
      <w:r>
        <w:rPr>
          <w:noProof/>
        </w:rPr>
        <w:t>Johannes Langus of Silesia, 7</w:t>
      </w:r>
    </w:p>
    <w:p w14:paraId="642DD282" w14:textId="77777777" w:rsidR="006009FA" w:rsidRDefault="006009FA">
      <w:pPr>
        <w:pStyle w:val="Index1"/>
        <w:tabs>
          <w:tab w:val="right" w:leader="dot" w:pos="3050"/>
        </w:tabs>
        <w:rPr>
          <w:noProof/>
        </w:rPr>
      </w:pPr>
      <w:r>
        <w:rPr>
          <w:noProof/>
        </w:rPr>
        <w:t>Johannes Picus Mirandulanus, 9</w:t>
      </w:r>
    </w:p>
    <w:p w14:paraId="4CF1C222" w14:textId="77777777" w:rsidR="006009FA" w:rsidRDefault="006009FA">
      <w:pPr>
        <w:pStyle w:val="Index1"/>
        <w:tabs>
          <w:tab w:val="right" w:leader="dot" w:pos="3050"/>
        </w:tabs>
        <w:rPr>
          <w:noProof/>
        </w:rPr>
      </w:pPr>
      <w:r>
        <w:rPr>
          <w:noProof/>
        </w:rPr>
        <w:t>Johannes Sichard, 9</w:t>
      </w:r>
    </w:p>
    <w:p w14:paraId="71B16452" w14:textId="77777777" w:rsidR="006009FA" w:rsidRDefault="006009FA">
      <w:pPr>
        <w:pStyle w:val="Index1"/>
        <w:tabs>
          <w:tab w:val="right" w:leader="dot" w:pos="3050"/>
        </w:tabs>
        <w:rPr>
          <w:noProof/>
        </w:rPr>
      </w:pPr>
      <w:r>
        <w:rPr>
          <w:noProof/>
        </w:rPr>
        <w:t>John, 35, 90, 174, 189</w:t>
      </w:r>
    </w:p>
    <w:p w14:paraId="3D62930D" w14:textId="77777777" w:rsidR="006009FA" w:rsidRDefault="006009FA">
      <w:pPr>
        <w:pStyle w:val="Index1"/>
        <w:tabs>
          <w:tab w:val="right" w:leader="dot" w:pos="3050"/>
        </w:tabs>
        <w:rPr>
          <w:noProof/>
        </w:rPr>
      </w:pPr>
      <w:r>
        <w:rPr>
          <w:noProof/>
        </w:rPr>
        <w:t>John Chrysostom, 41, 147</w:t>
      </w:r>
    </w:p>
    <w:p w14:paraId="09B03DE8" w14:textId="77777777" w:rsidR="006009FA" w:rsidRDefault="006009FA">
      <w:pPr>
        <w:pStyle w:val="Index1"/>
        <w:tabs>
          <w:tab w:val="right" w:leader="dot" w:pos="3050"/>
        </w:tabs>
        <w:rPr>
          <w:noProof/>
        </w:rPr>
      </w:pPr>
      <w:r>
        <w:rPr>
          <w:noProof/>
        </w:rPr>
        <w:t>John Clericus, 18</w:t>
      </w:r>
    </w:p>
    <w:p w14:paraId="49439B23" w14:textId="77777777" w:rsidR="006009FA" w:rsidRDefault="006009FA">
      <w:pPr>
        <w:pStyle w:val="Index1"/>
        <w:tabs>
          <w:tab w:val="right" w:leader="dot" w:pos="3050"/>
        </w:tabs>
        <w:rPr>
          <w:noProof/>
        </w:rPr>
      </w:pPr>
      <w:r>
        <w:rPr>
          <w:noProof/>
        </w:rPr>
        <w:t>John Damascene, 68</w:t>
      </w:r>
    </w:p>
    <w:p w14:paraId="41A36DD9" w14:textId="77777777" w:rsidR="006009FA" w:rsidRDefault="006009FA">
      <w:pPr>
        <w:pStyle w:val="Index1"/>
        <w:tabs>
          <w:tab w:val="right" w:leader="dot" w:pos="3050"/>
        </w:tabs>
        <w:rPr>
          <w:noProof/>
        </w:rPr>
      </w:pPr>
      <w:r>
        <w:rPr>
          <w:noProof/>
        </w:rPr>
        <w:t>John of Damascus, 145, 146</w:t>
      </w:r>
    </w:p>
    <w:p w14:paraId="35B9F965" w14:textId="77777777" w:rsidR="006009FA" w:rsidRDefault="006009FA">
      <w:pPr>
        <w:pStyle w:val="Index1"/>
        <w:tabs>
          <w:tab w:val="right" w:leader="dot" w:pos="3050"/>
        </w:tabs>
        <w:rPr>
          <w:noProof/>
        </w:rPr>
      </w:pPr>
      <w:r>
        <w:rPr>
          <w:noProof/>
        </w:rPr>
        <w:t>Josephus, 103, 115</w:t>
      </w:r>
    </w:p>
    <w:p w14:paraId="3AA1702F" w14:textId="77777777" w:rsidR="006009FA" w:rsidRDefault="006009FA">
      <w:pPr>
        <w:pStyle w:val="Index1"/>
        <w:tabs>
          <w:tab w:val="right" w:leader="dot" w:pos="3050"/>
        </w:tabs>
        <w:rPr>
          <w:noProof/>
        </w:rPr>
      </w:pPr>
      <w:r>
        <w:rPr>
          <w:noProof/>
        </w:rPr>
        <w:t>Julian, 121</w:t>
      </w:r>
    </w:p>
    <w:p w14:paraId="5E598268" w14:textId="77777777" w:rsidR="006009FA" w:rsidRDefault="006009FA">
      <w:pPr>
        <w:pStyle w:val="Index1"/>
        <w:tabs>
          <w:tab w:val="right" w:leader="dot" w:pos="3050"/>
        </w:tabs>
        <w:rPr>
          <w:noProof/>
        </w:rPr>
      </w:pPr>
      <w:r>
        <w:rPr>
          <w:noProof/>
        </w:rPr>
        <w:t>Julius Capitolinus, 131</w:t>
      </w:r>
    </w:p>
    <w:p w14:paraId="2AECA6A0" w14:textId="77777777" w:rsidR="006009FA" w:rsidRDefault="006009FA">
      <w:pPr>
        <w:pStyle w:val="Index1"/>
        <w:tabs>
          <w:tab w:val="right" w:leader="dot" w:pos="3050"/>
        </w:tabs>
        <w:rPr>
          <w:noProof/>
        </w:rPr>
      </w:pPr>
      <w:r>
        <w:rPr>
          <w:noProof/>
        </w:rPr>
        <w:t>Jurius, 34, 36</w:t>
      </w:r>
    </w:p>
    <w:p w14:paraId="53C10F9B" w14:textId="77777777" w:rsidR="006009FA" w:rsidRDefault="006009FA">
      <w:pPr>
        <w:pStyle w:val="Index1"/>
        <w:tabs>
          <w:tab w:val="right" w:leader="dot" w:pos="3050"/>
        </w:tabs>
        <w:rPr>
          <w:noProof/>
        </w:rPr>
      </w:pPr>
      <w:r>
        <w:rPr>
          <w:noProof/>
        </w:rPr>
        <w:t>Justin, 4, 5, 6, 8, 9, 10, 13, 16, 17, 18, 29, 30, 31, 32, 33, 34, 35, 37, 38, 43, 44, 45, 46, 47, 48, 49, 50, 51, 52, 53, 54, 55, 56, 57, 58, 59, 60, 61, 62, 63, 70, 71, 72, 73, 74, 75, 76, 77, 78, 79, 80, 81, 84, 85, 86, 87, 88, 89, 90, 92, 93, 94, 95, 97, 99,100, 101, 102, 105, 106, 107, 108, 109, 110, 111, 112, 113, 114, 115, 116, 117, 118, 119, 120, 121, 122, 125, 126, 127, 128, 129, 130, 131, 132, 133, 135, 136, 137, 138, 139, 140, 141, 142, 143, 144, 145, 146, 147, 149, 150, 151, 152, 153, 155, 159, 169, 171, 181, 191, 192</w:t>
      </w:r>
    </w:p>
    <w:p w14:paraId="30809217" w14:textId="77777777" w:rsidR="006009FA" w:rsidRDefault="006009FA">
      <w:pPr>
        <w:pStyle w:val="Index1"/>
        <w:tabs>
          <w:tab w:val="right" w:leader="dot" w:pos="3050"/>
        </w:tabs>
        <w:rPr>
          <w:noProof/>
        </w:rPr>
      </w:pPr>
      <w:r>
        <w:rPr>
          <w:noProof/>
        </w:rPr>
        <w:t>Justin the martyr, 12, 135</w:t>
      </w:r>
    </w:p>
    <w:p w14:paraId="4F713B98" w14:textId="77777777" w:rsidR="006009FA" w:rsidRDefault="006009FA">
      <w:pPr>
        <w:pStyle w:val="Index1"/>
        <w:tabs>
          <w:tab w:val="right" w:leader="dot" w:pos="3050"/>
        </w:tabs>
        <w:rPr>
          <w:noProof/>
        </w:rPr>
      </w:pPr>
      <w:r>
        <w:rPr>
          <w:noProof/>
        </w:rPr>
        <w:t>Justinus, 29, 43, 102, 128</w:t>
      </w:r>
    </w:p>
    <w:p w14:paraId="46081BBF" w14:textId="77777777" w:rsidR="006009FA" w:rsidRDefault="006009FA">
      <w:pPr>
        <w:pStyle w:val="Index1"/>
        <w:tabs>
          <w:tab w:val="right" w:leader="dot" w:pos="3050"/>
        </w:tabs>
        <w:rPr>
          <w:noProof/>
        </w:rPr>
      </w:pPr>
      <w:r>
        <w:rPr>
          <w:noProof/>
        </w:rPr>
        <w:t>Labb</w:t>
      </w:r>
      <w:r>
        <w:rPr>
          <w:rFonts w:hint="eastAsia"/>
          <w:noProof/>
        </w:rPr>
        <w:t>æ</w:t>
      </w:r>
      <w:r>
        <w:rPr>
          <w:noProof/>
        </w:rPr>
        <w:t>us, 179</w:t>
      </w:r>
    </w:p>
    <w:p w14:paraId="401D4CF2" w14:textId="77777777" w:rsidR="006009FA" w:rsidRDefault="006009FA">
      <w:pPr>
        <w:pStyle w:val="Index1"/>
        <w:tabs>
          <w:tab w:val="right" w:leader="dot" w:pos="3050"/>
        </w:tabs>
        <w:rPr>
          <w:noProof/>
        </w:rPr>
      </w:pPr>
      <w:r>
        <w:rPr>
          <w:noProof/>
        </w:rPr>
        <w:t>Lactantius, 89, 92, 93, 99</w:t>
      </w:r>
    </w:p>
    <w:p w14:paraId="3F1DC298" w14:textId="77777777" w:rsidR="006009FA" w:rsidRDefault="006009FA">
      <w:pPr>
        <w:pStyle w:val="Index1"/>
        <w:tabs>
          <w:tab w:val="right" w:leader="dot" w:pos="3050"/>
        </w:tabs>
        <w:rPr>
          <w:noProof/>
        </w:rPr>
      </w:pPr>
      <w:r>
        <w:rPr>
          <w:noProof/>
        </w:rPr>
        <w:lastRenderedPageBreak/>
        <w:t>Langus, 7, 8</w:t>
      </w:r>
    </w:p>
    <w:p w14:paraId="73BF2386" w14:textId="77777777" w:rsidR="006009FA" w:rsidRDefault="006009FA">
      <w:pPr>
        <w:pStyle w:val="Index1"/>
        <w:tabs>
          <w:tab w:val="right" w:leader="dot" w:pos="3050"/>
        </w:tabs>
        <w:rPr>
          <w:noProof/>
        </w:rPr>
      </w:pPr>
      <w:r>
        <w:rPr>
          <w:noProof/>
        </w:rPr>
        <w:t>Laurence, 18</w:t>
      </w:r>
    </w:p>
    <w:p w14:paraId="06C2B183" w14:textId="77777777" w:rsidR="006009FA" w:rsidRDefault="006009FA">
      <w:pPr>
        <w:pStyle w:val="Index1"/>
        <w:tabs>
          <w:tab w:val="right" w:leader="dot" w:pos="3050"/>
        </w:tabs>
        <w:rPr>
          <w:noProof/>
        </w:rPr>
      </w:pPr>
      <w:r>
        <w:rPr>
          <w:noProof/>
        </w:rPr>
        <w:t>Lucian, 137</w:t>
      </w:r>
    </w:p>
    <w:p w14:paraId="76209C5E" w14:textId="77777777" w:rsidR="006009FA" w:rsidRDefault="006009FA">
      <w:pPr>
        <w:pStyle w:val="Index1"/>
        <w:tabs>
          <w:tab w:val="right" w:leader="dot" w:pos="3050"/>
        </w:tabs>
        <w:rPr>
          <w:noProof/>
        </w:rPr>
      </w:pPr>
      <w:r>
        <w:rPr>
          <w:noProof/>
        </w:rPr>
        <w:t>Lucius Caesar, 131</w:t>
      </w:r>
    </w:p>
    <w:p w14:paraId="5C1BC1AD" w14:textId="77777777" w:rsidR="006009FA" w:rsidRDefault="006009FA">
      <w:pPr>
        <w:pStyle w:val="Index1"/>
        <w:tabs>
          <w:tab w:val="right" w:leader="dot" w:pos="3050"/>
        </w:tabs>
        <w:rPr>
          <w:noProof/>
        </w:rPr>
      </w:pPr>
      <w:r>
        <w:rPr>
          <w:noProof/>
        </w:rPr>
        <w:t>Lucius Verus, 113, 131, 147</w:t>
      </w:r>
    </w:p>
    <w:p w14:paraId="2FE1E9AF" w14:textId="77777777" w:rsidR="006009FA" w:rsidRDefault="006009FA">
      <w:pPr>
        <w:pStyle w:val="Index1"/>
        <w:tabs>
          <w:tab w:val="right" w:leader="dot" w:pos="3050"/>
        </w:tabs>
        <w:rPr>
          <w:noProof/>
        </w:rPr>
      </w:pPr>
      <w:r>
        <w:rPr>
          <w:noProof/>
        </w:rPr>
        <w:t>Lucretius, 10</w:t>
      </w:r>
    </w:p>
    <w:p w14:paraId="08CE9E44" w14:textId="77777777" w:rsidR="006009FA" w:rsidRDefault="006009FA">
      <w:pPr>
        <w:pStyle w:val="Index1"/>
        <w:tabs>
          <w:tab w:val="right" w:leader="dot" w:pos="3050"/>
        </w:tabs>
        <w:rPr>
          <w:noProof/>
        </w:rPr>
      </w:pPr>
      <w:r>
        <w:rPr>
          <w:noProof/>
        </w:rPr>
        <w:t>Ludovicus Dufour de Longuerue, 162</w:t>
      </w:r>
    </w:p>
    <w:p w14:paraId="799A5950" w14:textId="77777777" w:rsidR="006009FA" w:rsidRDefault="006009FA">
      <w:pPr>
        <w:pStyle w:val="Index1"/>
        <w:tabs>
          <w:tab w:val="right" w:leader="dot" w:pos="3050"/>
        </w:tabs>
        <w:rPr>
          <w:noProof/>
        </w:rPr>
      </w:pPr>
      <w:r>
        <w:rPr>
          <w:noProof/>
        </w:rPr>
        <w:t>Luke, 175</w:t>
      </w:r>
    </w:p>
    <w:p w14:paraId="31613E43" w14:textId="77777777" w:rsidR="006009FA" w:rsidRDefault="006009FA">
      <w:pPr>
        <w:pStyle w:val="Index1"/>
        <w:tabs>
          <w:tab w:val="right" w:leader="dot" w:pos="3050"/>
        </w:tabs>
        <w:rPr>
          <w:noProof/>
        </w:rPr>
      </w:pPr>
      <w:r>
        <w:rPr>
          <w:noProof/>
        </w:rPr>
        <w:t>M, 132</w:t>
      </w:r>
    </w:p>
    <w:p w14:paraId="7A9E4EE7" w14:textId="77777777" w:rsidR="006009FA" w:rsidRDefault="006009FA">
      <w:pPr>
        <w:pStyle w:val="Index1"/>
        <w:tabs>
          <w:tab w:val="right" w:leader="dot" w:pos="3050"/>
        </w:tabs>
        <w:rPr>
          <w:noProof/>
        </w:rPr>
      </w:pPr>
      <w:r>
        <w:rPr>
          <w:noProof/>
        </w:rPr>
        <w:t>Malachi, 71</w:t>
      </w:r>
    </w:p>
    <w:p w14:paraId="2645E776" w14:textId="77777777" w:rsidR="006009FA" w:rsidRDefault="006009FA">
      <w:pPr>
        <w:pStyle w:val="Index1"/>
        <w:tabs>
          <w:tab w:val="right" w:leader="dot" w:pos="3050"/>
        </w:tabs>
        <w:rPr>
          <w:noProof/>
        </w:rPr>
      </w:pPr>
      <w:r>
        <w:rPr>
          <w:noProof/>
        </w:rPr>
        <w:t>Marcion, 67, 68, 131, 163, 172</w:t>
      </w:r>
    </w:p>
    <w:p w14:paraId="62CD50F0" w14:textId="77777777" w:rsidR="006009FA" w:rsidRDefault="006009FA">
      <w:pPr>
        <w:pStyle w:val="Index1"/>
        <w:tabs>
          <w:tab w:val="right" w:leader="dot" w:pos="3050"/>
        </w:tabs>
        <w:rPr>
          <w:noProof/>
        </w:rPr>
      </w:pPr>
      <w:r>
        <w:rPr>
          <w:noProof/>
        </w:rPr>
        <w:t>Marcus, 113, 130, 132, 133, 141, 142, 147, 150, 153</w:t>
      </w:r>
    </w:p>
    <w:p w14:paraId="79A6F46E" w14:textId="77777777" w:rsidR="006009FA" w:rsidRDefault="006009FA">
      <w:pPr>
        <w:pStyle w:val="Index1"/>
        <w:tabs>
          <w:tab w:val="right" w:leader="dot" w:pos="3050"/>
        </w:tabs>
        <w:rPr>
          <w:noProof/>
        </w:rPr>
      </w:pPr>
      <w:r>
        <w:rPr>
          <w:noProof/>
        </w:rPr>
        <w:t>Marcus Antoninus, 113</w:t>
      </w:r>
    </w:p>
    <w:p w14:paraId="14FC19B9" w14:textId="77777777" w:rsidR="006009FA" w:rsidRDefault="006009FA">
      <w:pPr>
        <w:pStyle w:val="Index1"/>
        <w:tabs>
          <w:tab w:val="right" w:leader="dot" w:pos="3050"/>
        </w:tabs>
        <w:rPr>
          <w:noProof/>
        </w:rPr>
      </w:pPr>
      <w:r>
        <w:rPr>
          <w:noProof/>
        </w:rPr>
        <w:t>Marcus Aurelius, 122, 130, 132, 133, 147, 151, 160, 179, 180, 192, 196</w:t>
      </w:r>
    </w:p>
    <w:p w14:paraId="26738821" w14:textId="77777777" w:rsidR="006009FA" w:rsidRDefault="006009FA">
      <w:pPr>
        <w:pStyle w:val="Index1"/>
        <w:tabs>
          <w:tab w:val="right" w:leader="dot" w:pos="3050"/>
        </w:tabs>
        <w:rPr>
          <w:noProof/>
        </w:rPr>
      </w:pPr>
      <w:r>
        <w:rPr>
          <w:noProof/>
        </w:rPr>
        <w:t>Maresius, 161</w:t>
      </w:r>
    </w:p>
    <w:p w14:paraId="393A1D20" w14:textId="77777777" w:rsidR="006009FA" w:rsidRDefault="006009FA">
      <w:pPr>
        <w:pStyle w:val="Index1"/>
        <w:tabs>
          <w:tab w:val="right" w:leader="dot" w:pos="3050"/>
        </w:tabs>
        <w:rPr>
          <w:noProof/>
        </w:rPr>
      </w:pPr>
      <w:r>
        <w:rPr>
          <w:noProof/>
        </w:rPr>
        <w:t>Mark, 175</w:t>
      </w:r>
    </w:p>
    <w:p w14:paraId="057C24E1" w14:textId="77777777" w:rsidR="006009FA" w:rsidRDefault="006009FA">
      <w:pPr>
        <w:pStyle w:val="Index1"/>
        <w:tabs>
          <w:tab w:val="right" w:leader="dot" w:pos="3050"/>
        </w:tabs>
        <w:rPr>
          <w:noProof/>
        </w:rPr>
      </w:pPr>
      <w:r>
        <w:rPr>
          <w:noProof/>
        </w:rPr>
        <w:t>Marsilio, 13</w:t>
      </w:r>
    </w:p>
    <w:p w14:paraId="069F6D76" w14:textId="77777777" w:rsidR="006009FA" w:rsidRDefault="006009FA">
      <w:pPr>
        <w:pStyle w:val="Index1"/>
        <w:tabs>
          <w:tab w:val="right" w:leader="dot" w:pos="3050"/>
        </w:tabs>
        <w:rPr>
          <w:noProof/>
        </w:rPr>
      </w:pPr>
      <w:r>
        <w:rPr>
          <w:noProof/>
        </w:rPr>
        <w:t>Matthew, 175</w:t>
      </w:r>
    </w:p>
    <w:p w14:paraId="2D36F14E" w14:textId="77777777" w:rsidR="006009FA" w:rsidRDefault="006009FA">
      <w:pPr>
        <w:pStyle w:val="Index1"/>
        <w:tabs>
          <w:tab w:val="right" w:leader="dot" w:pos="3050"/>
        </w:tabs>
        <w:rPr>
          <w:noProof/>
        </w:rPr>
      </w:pPr>
      <w:r>
        <w:rPr>
          <w:noProof/>
        </w:rPr>
        <w:t>Maximus, 12</w:t>
      </w:r>
    </w:p>
    <w:p w14:paraId="2FD401F9" w14:textId="77777777" w:rsidR="006009FA" w:rsidRDefault="006009FA">
      <w:pPr>
        <w:pStyle w:val="Index1"/>
        <w:tabs>
          <w:tab w:val="right" w:leader="dot" w:pos="3050"/>
        </w:tabs>
        <w:rPr>
          <w:noProof/>
        </w:rPr>
      </w:pPr>
      <w:r>
        <w:rPr>
          <w:noProof/>
        </w:rPr>
        <w:t>Melito, 130</w:t>
      </w:r>
    </w:p>
    <w:p w14:paraId="735C6F9E" w14:textId="77777777" w:rsidR="006009FA" w:rsidRDefault="006009FA">
      <w:pPr>
        <w:pStyle w:val="Index1"/>
        <w:tabs>
          <w:tab w:val="right" w:leader="dot" w:pos="3050"/>
        </w:tabs>
        <w:rPr>
          <w:noProof/>
        </w:rPr>
      </w:pPr>
      <w:r>
        <w:rPr>
          <w:noProof/>
        </w:rPr>
        <w:t>Methodius, 176</w:t>
      </w:r>
    </w:p>
    <w:p w14:paraId="3C32E926" w14:textId="77777777" w:rsidR="006009FA" w:rsidRDefault="006009FA">
      <w:pPr>
        <w:pStyle w:val="Index1"/>
        <w:tabs>
          <w:tab w:val="right" w:leader="dot" w:pos="3050"/>
        </w:tabs>
        <w:rPr>
          <w:noProof/>
        </w:rPr>
      </w:pPr>
      <w:r>
        <w:rPr>
          <w:noProof/>
        </w:rPr>
        <w:t>Minucius, 123</w:t>
      </w:r>
    </w:p>
    <w:p w14:paraId="08272E40" w14:textId="77777777" w:rsidR="006009FA" w:rsidRDefault="006009FA">
      <w:pPr>
        <w:pStyle w:val="Index1"/>
        <w:tabs>
          <w:tab w:val="right" w:leader="dot" w:pos="3050"/>
        </w:tabs>
        <w:rPr>
          <w:noProof/>
        </w:rPr>
      </w:pPr>
      <w:r>
        <w:rPr>
          <w:noProof/>
        </w:rPr>
        <w:t>Montanus, 161, 187, 190</w:t>
      </w:r>
    </w:p>
    <w:p w14:paraId="6225FFC0" w14:textId="77777777" w:rsidR="006009FA" w:rsidRDefault="006009FA">
      <w:pPr>
        <w:pStyle w:val="Index1"/>
        <w:tabs>
          <w:tab w:val="right" w:leader="dot" w:pos="3050"/>
        </w:tabs>
        <w:rPr>
          <w:noProof/>
        </w:rPr>
      </w:pPr>
      <w:r>
        <w:rPr>
          <w:noProof/>
        </w:rPr>
        <w:t>Moses, 36, 114</w:t>
      </w:r>
    </w:p>
    <w:p w14:paraId="66D152EC" w14:textId="77777777" w:rsidR="006009FA" w:rsidRDefault="006009FA">
      <w:pPr>
        <w:pStyle w:val="Index1"/>
        <w:tabs>
          <w:tab w:val="right" w:leader="dot" w:pos="3050"/>
        </w:tabs>
        <w:rPr>
          <w:noProof/>
        </w:rPr>
      </w:pPr>
      <w:r>
        <w:rPr>
          <w:noProof/>
        </w:rPr>
        <w:t>Musanus, 160</w:t>
      </w:r>
    </w:p>
    <w:p w14:paraId="07671057" w14:textId="77777777" w:rsidR="006009FA" w:rsidRDefault="006009FA">
      <w:pPr>
        <w:pStyle w:val="Index1"/>
        <w:tabs>
          <w:tab w:val="right" w:leader="dot" w:pos="3050"/>
        </w:tabs>
        <w:rPr>
          <w:noProof/>
        </w:rPr>
      </w:pPr>
      <w:r>
        <w:rPr>
          <w:noProof/>
        </w:rPr>
        <w:t>Nepos, 99</w:t>
      </w:r>
    </w:p>
    <w:p w14:paraId="17EA7C9A" w14:textId="77777777" w:rsidR="006009FA" w:rsidRDefault="006009FA">
      <w:pPr>
        <w:pStyle w:val="Index1"/>
        <w:tabs>
          <w:tab w:val="right" w:leader="dot" w:pos="3050"/>
        </w:tabs>
        <w:rPr>
          <w:noProof/>
        </w:rPr>
      </w:pPr>
      <w:r>
        <w:rPr>
          <w:noProof/>
        </w:rPr>
        <w:t>Nicephorus, 119, 177, 196</w:t>
      </w:r>
    </w:p>
    <w:p w14:paraId="19BACCC1" w14:textId="77777777" w:rsidR="006009FA" w:rsidRDefault="006009FA">
      <w:pPr>
        <w:pStyle w:val="Index1"/>
        <w:tabs>
          <w:tab w:val="right" w:leader="dot" w:pos="3050"/>
        </w:tabs>
        <w:rPr>
          <w:noProof/>
        </w:rPr>
      </w:pPr>
      <w:r>
        <w:rPr>
          <w:noProof/>
        </w:rPr>
        <w:t>Nicephorus Callistus, 177</w:t>
      </w:r>
    </w:p>
    <w:p w14:paraId="2E4DD36B" w14:textId="77777777" w:rsidR="006009FA" w:rsidRDefault="006009FA">
      <w:pPr>
        <w:pStyle w:val="Index1"/>
        <w:tabs>
          <w:tab w:val="right" w:leader="dot" w:pos="3050"/>
        </w:tabs>
        <w:rPr>
          <w:noProof/>
        </w:rPr>
      </w:pPr>
      <w:r>
        <w:rPr>
          <w:noProof/>
        </w:rPr>
        <w:t>Nicolaus, 6</w:t>
      </w:r>
    </w:p>
    <w:p w14:paraId="7AB47866" w14:textId="77777777" w:rsidR="006009FA" w:rsidRDefault="006009FA">
      <w:pPr>
        <w:pStyle w:val="Index1"/>
        <w:tabs>
          <w:tab w:val="right" w:leader="dot" w:pos="3050"/>
        </w:tabs>
        <w:rPr>
          <w:noProof/>
        </w:rPr>
      </w:pPr>
      <w:r>
        <w:rPr>
          <w:noProof/>
        </w:rPr>
        <w:t>Origen, 28, 30, 33, 34, 35, 59, 100, 109, 123, 125, 126, 128, 181</w:t>
      </w:r>
    </w:p>
    <w:p w14:paraId="787BDAA9" w14:textId="77777777" w:rsidR="006009FA" w:rsidRDefault="006009FA">
      <w:pPr>
        <w:pStyle w:val="Index1"/>
        <w:tabs>
          <w:tab w:val="right" w:leader="dot" w:pos="3050"/>
        </w:tabs>
        <w:rPr>
          <w:noProof/>
        </w:rPr>
      </w:pPr>
      <w:r>
        <w:rPr>
          <w:noProof/>
        </w:rPr>
        <w:t>Oudinus, 109, 113</w:t>
      </w:r>
    </w:p>
    <w:p w14:paraId="42807E1B" w14:textId="77777777" w:rsidR="006009FA" w:rsidRDefault="006009FA">
      <w:pPr>
        <w:pStyle w:val="Index1"/>
        <w:tabs>
          <w:tab w:val="right" w:leader="dot" w:pos="3050"/>
        </w:tabs>
        <w:rPr>
          <w:noProof/>
        </w:rPr>
      </w:pPr>
      <w:r>
        <w:rPr>
          <w:noProof/>
        </w:rPr>
        <w:t>P, 139</w:t>
      </w:r>
    </w:p>
    <w:p w14:paraId="56729D43" w14:textId="77777777" w:rsidR="006009FA" w:rsidRDefault="006009FA">
      <w:pPr>
        <w:pStyle w:val="Index1"/>
        <w:tabs>
          <w:tab w:val="right" w:leader="dot" w:pos="3050"/>
        </w:tabs>
        <w:rPr>
          <w:noProof/>
        </w:rPr>
      </w:pPr>
      <w:r>
        <w:rPr>
          <w:noProof/>
        </w:rPr>
        <w:t>Pagius, 179</w:t>
      </w:r>
    </w:p>
    <w:p w14:paraId="0607E9D0" w14:textId="77777777" w:rsidR="006009FA" w:rsidRDefault="006009FA">
      <w:pPr>
        <w:pStyle w:val="Index1"/>
        <w:tabs>
          <w:tab w:val="right" w:leader="dot" w:pos="3050"/>
        </w:tabs>
        <w:rPr>
          <w:noProof/>
        </w:rPr>
      </w:pPr>
      <w:r>
        <w:rPr>
          <w:noProof/>
        </w:rPr>
        <w:t>Palladius, 147</w:t>
      </w:r>
    </w:p>
    <w:p w14:paraId="78A17533" w14:textId="77777777" w:rsidR="006009FA" w:rsidRDefault="006009FA">
      <w:pPr>
        <w:pStyle w:val="Index1"/>
        <w:tabs>
          <w:tab w:val="right" w:leader="dot" w:pos="3050"/>
        </w:tabs>
        <w:rPr>
          <w:noProof/>
        </w:rPr>
      </w:pPr>
      <w:r>
        <w:rPr>
          <w:noProof/>
        </w:rPr>
        <w:t>Pant</w:t>
      </w:r>
      <w:r>
        <w:rPr>
          <w:rFonts w:hint="eastAsia"/>
          <w:noProof/>
        </w:rPr>
        <w:t>æ</w:t>
      </w:r>
      <w:r>
        <w:rPr>
          <w:noProof/>
        </w:rPr>
        <w:t>nus, 140, 178</w:t>
      </w:r>
    </w:p>
    <w:p w14:paraId="651A1EE9" w14:textId="77777777" w:rsidR="006009FA" w:rsidRDefault="006009FA">
      <w:pPr>
        <w:pStyle w:val="Index1"/>
        <w:tabs>
          <w:tab w:val="right" w:leader="dot" w:pos="3050"/>
        </w:tabs>
        <w:rPr>
          <w:noProof/>
        </w:rPr>
      </w:pPr>
      <w:r>
        <w:rPr>
          <w:noProof/>
        </w:rPr>
        <w:t>Papias, 87, 99</w:t>
      </w:r>
    </w:p>
    <w:p w14:paraId="3620B460" w14:textId="77777777" w:rsidR="006009FA" w:rsidRDefault="006009FA">
      <w:pPr>
        <w:pStyle w:val="Index1"/>
        <w:tabs>
          <w:tab w:val="right" w:leader="dot" w:pos="3050"/>
        </w:tabs>
        <w:rPr>
          <w:noProof/>
        </w:rPr>
      </w:pPr>
      <w:r>
        <w:rPr>
          <w:noProof/>
        </w:rPr>
        <w:t>Paul, 36, 81, 121, 163, 172</w:t>
      </w:r>
    </w:p>
    <w:p w14:paraId="1FB497A6" w14:textId="77777777" w:rsidR="006009FA" w:rsidRDefault="006009FA">
      <w:pPr>
        <w:pStyle w:val="Index1"/>
        <w:tabs>
          <w:tab w:val="right" w:leader="dot" w:pos="3050"/>
        </w:tabs>
        <w:rPr>
          <w:noProof/>
        </w:rPr>
      </w:pPr>
      <w:r>
        <w:rPr>
          <w:noProof/>
        </w:rPr>
        <w:t>Perionius, 5, 6, 7</w:t>
      </w:r>
    </w:p>
    <w:p w14:paraId="6E2A8DCC" w14:textId="77777777" w:rsidR="006009FA" w:rsidRDefault="006009FA">
      <w:pPr>
        <w:pStyle w:val="Index1"/>
        <w:tabs>
          <w:tab w:val="right" w:leader="dot" w:pos="3050"/>
        </w:tabs>
        <w:rPr>
          <w:noProof/>
        </w:rPr>
      </w:pPr>
      <w:r>
        <w:rPr>
          <w:noProof/>
        </w:rPr>
        <w:t>Perronius, 66</w:t>
      </w:r>
    </w:p>
    <w:p w14:paraId="718ECAC9" w14:textId="77777777" w:rsidR="006009FA" w:rsidRDefault="006009FA">
      <w:pPr>
        <w:pStyle w:val="Index1"/>
        <w:tabs>
          <w:tab w:val="right" w:leader="dot" w:pos="3050"/>
        </w:tabs>
        <w:rPr>
          <w:noProof/>
        </w:rPr>
      </w:pPr>
      <w:r>
        <w:rPr>
          <w:noProof/>
        </w:rPr>
        <w:t>Petavius, 85, 100, 103, 131, 132, 179, 182</w:t>
      </w:r>
    </w:p>
    <w:p w14:paraId="0E066EA5" w14:textId="77777777" w:rsidR="006009FA" w:rsidRDefault="006009FA">
      <w:pPr>
        <w:pStyle w:val="Index1"/>
        <w:tabs>
          <w:tab w:val="right" w:leader="dot" w:pos="3050"/>
        </w:tabs>
        <w:rPr>
          <w:noProof/>
        </w:rPr>
      </w:pPr>
      <w:r>
        <w:rPr>
          <w:noProof/>
        </w:rPr>
        <w:t>Peter, 73, 167, 175, 176</w:t>
      </w:r>
    </w:p>
    <w:p w14:paraId="27CF5987" w14:textId="77777777" w:rsidR="006009FA" w:rsidRDefault="006009FA">
      <w:pPr>
        <w:pStyle w:val="Index1"/>
        <w:tabs>
          <w:tab w:val="right" w:leader="dot" w:pos="3050"/>
        </w:tabs>
        <w:rPr>
          <w:noProof/>
        </w:rPr>
      </w:pPr>
      <w:r>
        <w:rPr>
          <w:noProof/>
        </w:rPr>
        <w:t>Petri, 13</w:t>
      </w:r>
    </w:p>
    <w:p w14:paraId="58AA629D" w14:textId="77777777" w:rsidR="006009FA" w:rsidRDefault="006009FA">
      <w:pPr>
        <w:pStyle w:val="Index1"/>
        <w:tabs>
          <w:tab w:val="right" w:leader="dot" w:pos="3050"/>
        </w:tabs>
        <w:rPr>
          <w:noProof/>
        </w:rPr>
      </w:pPr>
      <w:r>
        <w:rPr>
          <w:noProof/>
        </w:rPr>
        <w:t>Pfaffius, 72</w:t>
      </w:r>
    </w:p>
    <w:p w14:paraId="1B960152" w14:textId="77777777" w:rsidR="006009FA" w:rsidRDefault="006009FA">
      <w:pPr>
        <w:pStyle w:val="Index1"/>
        <w:tabs>
          <w:tab w:val="right" w:leader="dot" w:pos="3050"/>
        </w:tabs>
        <w:rPr>
          <w:noProof/>
        </w:rPr>
      </w:pPr>
      <w:r>
        <w:rPr>
          <w:noProof/>
        </w:rPr>
        <w:t>Philastrius, 165</w:t>
      </w:r>
    </w:p>
    <w:p w14:paraId="64BD69EC" w14:textId="77777777" w:rsidR="006009FA" w:rsidRDefault="006009FA">
      <w:pPr>
        <w:pStyle w:val="Index1"/>
        <w:tabs>
          <w:tab w:val="right" w:leader="dot" w:pos="3050"/>
        </w:tabs>
        <w:rPr>
          <w:noProof/>
        </w:rPr>
      </w:pPr>
      <w:r>
        <w:rPr>
          <w:noProof/>
        </w:rPr>
        <w:t>Philip, 176, 177, 178</w:t>
      </w:r>
    </w:p>
    <w:p w14:paraId="51957958" w14:textId="77777777" w:rsidR="006009FA" w:rsidRDefault="006009FA">
      <w:pPr>
        <w:pStyle w:val="Index1"/>
        <w:tabs>
          <w:tab w:val="right" w:leader="dot" w:pos="3050"/>
        </w:tabs>
        <w:rPr>
          <w:noProof/>
        </w:rPr>
      </w:pPr>
      <w:r>
        <w:rPr>
          <w:noProof/>
        </w:rPr>
        <w:t>Philip of Heraclea, 153</w:t>
      </w:r>
    </w:p>
    <w:p w14:paraId="6E5D1369" w14:textId="77777777" w:rsidR="006009FA" w:rsidRDefault="006009FA">
      <w:pPr>
        <w:pStyle w:val="Index1"/>
        <w:tabs>
          <w:tab w:val="right" w:leader="dot" w:pos="3050"/>
        </w:tabs>
        <w:rPr>
          <w:noProof/>
        </w:rPr>
      </w:pPr>
      <w:r>
        <w:rPr>
          <w:noProof/>
        </w:rPr>
        <w:t>Philip of Side, 192</w:t>
      </w:r>
    </w:p>
    <w:p w14:paraId="03BE994F" w14:textId="77777777" w:rsidR="006009FA" w:rsidRDefault="006009FA">
      <w:pPr>
        <w:pStyle w:val="Index1"/>
        <w:tabs>
          <w:tab w:val="right" w:leader="dot" w:pos="3050"/>
        </w:tabs>
        <w:rPr>
          <w:noProof/>
        </w:rPr>
      </w:pPr>
      <w:r>
        <w:rPr>
          <w:noProof/>
        </w:rPr>
        <w:t>Philip Sidetes, 176, 177, 178</w:t>
      </w:r>
    </w:p>
    <w:p w14:paraId="420C3069" w14:textId="77777777" w:rsidR="006009FA" w:rsidRDefault="006009FA">
      <w:pPr>
        <w:pStyle w:val="Index1"/>
        <w:tabs>
          <w:tab w:val="right" w:leader="dot" w:pos="3050"/>
        </w:tabs>
        <w:rPr>
          <w:noProof/>
        </w:rPr>
      </w:pPr>
      <w:r>
        <w:rPr>
          <w:noProof/>
        </w:rPr>
        <w:t>Philo, 13, 18, 191</w:t>
      </w:r>
    </w:p>
    <w:p w14:paraId="68A9F546" w14:textId="77777777" w:rsidR="006009FA" w:rsidRDefault="006009FA">
      <w:pPr>
        <w:pStyle w:val="Index1"/>
        <w:tabs>
          <w:tab w:val="right" w:leader="dot" w:pos="3050"/>
        </w:tabs>
        <w:rPr>
          <w:noProof/>
        </w:rPr>
      </w:pPr>
      <w:r>
        <w:rPr>
          <w:noProof/>
        </w:rPr>
        <w:t>Philostratus, 180</w:t>
      </w:r>
    </w:p>
    <w:p w14:paraId="5B33630F" w14:textId="77777777" w:rsidR="006009FA" w:rsidRDefault="006009FA">
      <w:pPr>
        <w:pStyle w:val="Index1"/>
        <w:tabs>
          <w:tab w:val="right" w:leader="dot" w:pos="3050"/>
        </w:tabs>
        <w:rPr>
          <w:noProof/>
        </w:rPr>
      </w:pPr>
      <w:r>
        <w:rPr>
          <w:noProof/>
        </w:rPr>
        <w:t>Photius, 110, 112, 114, 115, 118, 140, 177, 178</w:t>
      </w:r>
    </w:p>
    <w:p w14:paraId="5D6C0E1D" w14:textId="77777777" w:rsidR="006009FA" w:rsidRDefault="006009FA">
      <w:pPr>
        <w:pStyle w:val="Index1"/>
        <w:tabs>
          <w:tab w:val="right" w:leader="dot" w:pos="3050"/>
        </w:tabs>
        <w:rPr>
          <w:noProof/>
        </w:rPr>
      </w:pPr>
      <w:r>
        <w:rPr>
          <w:noProof/>
        </w:rPr>
        <w:lastRenderedPageBreak/>
        <w:t>Pius, 131, 132, 142</w:t>
      </w:r>
    </w:p>
    <w:p w14:paraId="15665C4F" w14:textId="77777777" w:rsidR="006009FA" w:rsidRDefault="006009FA">
      <w:pPr>
        <w:pStyle w:val="Index1"/>
        <w:tabs>
          <w:tab w:val="right" w:leader="dot" w:pos="3050"/>
        </w:tabs>
        <w:rPr>
          <w:noProof/>
        </w:rPr>
      </w:pPr>
      <w:r>
        <w:rPr>
          <w:noProof/>
        </w:rPr>
        <w:t>Plato, 6, 18, 20, 21, 22, 23, 24, 25, 26, 27, 28, 29, 30, 31, 32, 79, 80, 81, 107, 112, 113, 114, 147</w:t>
      </w:r>
    </w:p>
    <w:p w14:paraId="12EFFA26" w14:textId="77777777" w:rsidR="006009FA" w:rsidRDefault="006009FA">
      <w:pPr>
        <w:pStyle w:val="Index1"/>
        <w:tabs>
          <w:tab w:val="right" w:leader="dot" w:pos="3050"/>
        </w:tabs>
        <w:rPr>
          <w:noProof/>
        </w:rPr>
      </w:pPr>
      <w:r>
        <w:rPr>
          <w:noProof/>
        </w:rPr>
        <w:t>Pliny, 127</w:t>
      </w:r>
    </w:p>
    <w:p w14:paraId="1B5C472B" w14:textId="77777777" w:rsidR="006009FA" w:rsidRDefault="006009FA">
      <w:pPr>
        <w:pStyle w:val="Index1"/>
        <w:tabs>
          <w:tab w:val="right" w:leader="dot" w:pos="3050"/>
        </w:tabs>
        <w:rPr>
          <w:noProof/>
        </w:rPr>
      </w:pPr>
      <w:r>
        <w:rPr>
          <w:noProof/>
        </w:rPr>
        <w:t>Plutarch, 26, 28</w:t>
      </w:r>
    </w:p>
    <w:p w14:paraId="3E22FB69" w14:textId="77777777" w:rsidR="006009FA" w:rsidRDefault="006009FA">
      <w:pPr>
        <w:pStyle w:val="Index1"/>
        <w:tabs>
          <w:tab w:val="right" w:leader="dot" w:pos="3050"/>
        </w:tabs>
        <w:rPr>
          <w:noProof/>
        </w:rPr>
      </w:pPr>
      <w:r>
        <w:rPr>
          <w:noProof/>
        </w:rPr>
        <w:t>Polycarp, 153</w:t>
      </w:r>
    </w:p>
    <w:p w14:paraId="5F13CD39" w14:textId="77777777" w:rsidR="006009FA" w:rsidRDefault="006009FA">
      <w:pPr>
        <w:pStyle w:val="Index1"/>
        <w:tabs>
          <w:tab w:val="right" w:leader="dot" w:pos="3050"/>
        </w:tabs>
        <w:rPr>
          <w:noProof/>
        </w:rPr>
      </w:pPr>
      <w:r>
        <w:rPr>
          <w:noProof/>
        </w:rPr>
        <w:t>Pompeius, 138</w:t>
      </w:r>
    </w:p>
    <w:p w14:paraId="15B4FAFF" w14:textId="77777777" w:rsidR="006009FA" w:rsidRDefault="006009FA">
      <w:pPr>
        <w:pStyle w:val="Index1"/>
        <w:tabs>
          <w:tab w:val="right" w:leader="dot" w:pos="3050"/>
        </w:tabs>
        <w:rPr>
          <w:noProof/>
        </w:rPr>
      </w:pPr>
      <w:r>
        <w:rPr>
          <w:noProof/>
        </w:rPr>
        <w:t>Pompeius S, 139</w:t>
      </w:r>
    </w:p>
    <w:p w14:paraId="5B0DC2B4" w14:textId="77777777" w:rsidR="006009FA" w:rsidRDefault="006009FA">
      <w:pPr>
        <w:pStyle w:val="Index1"/>
        <w:tabs>
          <w:tab w:val="right" w:leader="dot" w:pos="3050"/>
        </w:tabs>
        <w:rPr>
          <w:noProof/>
        </w:rPr>
      </w:pPr>
      <w:r>
        <w:rPr>
          <w:noProof/>
        </w:rPr>
        <w:t>Priscus, 102</w:t>
      </w:r>
    </w:p>
    <w:p w14:paraId="39F36AD4" w14:textId="77777777" w:rsidR="006009FA" w:rsidRDefault="006009FA">
      <w:pPr>
        <w:pStyle w:val="Index1"/>
        <w:tabs>
          <w:tab w:val="right" w:leader="dot" w:pos="3050"/>
        </w:tabs>
        <w:rPr>
          <w:noProof/>
        </w:rPr>
      </w:pPr>
      <w:r>
        <w:rPr>
          <w:noProof/>
        </w:rPr>
        <w:t>Proclus, 177</w:t>
      </w:r>
    </w:p>
    <w:p w14:paraId="4A560F05" w14:textId="77777777" w:rsidR="006009FA" w:rsidRDefault="006009FA">
      <w:pPr>
        <w:pStyle w:val="Index1"/>
        <w:tabs>
          <w:tab w:val="right" w:leader="dot" w:pos="3050"/>
        </w:tabs>
        <w:rPr>
          <w:noProof/>
        </w:rPr>
      </w:pPr>
      <w:r>
        <w:rPr>
          <w:noProof/>
        </w:rPr>
        <w:t>Pseudo, 5</w:t>
      </w:r>
    </w:p>
    <w:p w14:paraId="628B2202" w14:textId="77777777" w:rsidR="006009FA" w:rsidRDefault="006009FA">
      <w:pPr>
        <w:pStyle w:val="Index1"/>
        <w:tabs>
          <w:tab w:val="right" w:leader="dot" w:pos="3050"/>
        </w:tabs>
        <w:rPr>
          <w:noProof/>
        </w:rPr>
      </w:pPr>
      <w:r>
        <w:rPr>
          <w:noProof/>
        </w:rPr>
        <w:t>Pythagoras, 106, 114</w:t>
      </w:r>
    </w:p>
    <w:p w14:paraId="0EA495D9" w14:textId="77777777" w:rsidR="006009FA" w:rsidRDefault="006009FA">
      <w:pPr>
        <w:pStyle w:val="Index1"/>
        <w:tabs>
          <w:tab w:val="right" w:leader="dot" w:pos="3050"/>
        </w:tabs>
        <w:rPr>
          <w:noProof/>
        </w:rPr>
      </w:pPr>
      <w:r>
        <w:rPr>
          <w:noProof/>
        </w:rPr>
        <w:t>Quadratus, 140</w:t>
      </w:r>
    </w:p>
    <w:p w14:paraId="5B15679E" w14:textId="77777777" w:rsidR="006009FA" w:rsidRDefault="006009FA">
      <w:pPr>
        <w:pStyle w:val="Index1"/>
        <w:tabs>
          <w:tab w:val="right" w:leader="dot" w:pos="3050"/>
        </w:tabs>
        <w:rPr>
          <w:noProof/>
        </w:rPr>
      </w:pPr>
      <w:r>
        <w:rPr>
          <w:noProof/>
        </w:rPr>
        <w:t>Quintus, 96</w:t>
      </w:r>
    </w:p>
    <w:p w14:paraId="5F3504AB" w14:textId="77777777" w:rsidR="006009FA" w:rsidRDefault="006009FA">
      <w:pPr>
        <w:pStyle w:val="Index1"/>
        <w:tabs>
          <w:tab w:val="right" w:leader="dot" w:pos="3050"/>
        </w:tabs>
        <w:rPr>
          <w:noProof/>
        </w:rPr>
      </w:pPr>
      <w:r>
        <w:rPr>
          <w:noProof/>
        </w:rPr>
        <w:t>Quintus Julius Hilarion, 99</w:t>
      </w:r>
    </w:p>
    <w:p w14:paraId="10010005" w14:textId="77777777" w:rsidR="006009FA" w:rsidRDefault="006009FA">
      <w:pPr>
        <w:pStyle w:val="Index1"/>
        <w:tabs>
          <w:tab w:val="right" w:leader="dot" w:pos="3050"/>
        </w:tabs>
        <w:rPr>
          <w:noProof/>
        </w:rPr>
      </w:pPr>
      <w:r>
        <w:rPr>
          <w:noProof/>
        </w:rPr>
        <w:t>Raphael Seiler, 14</w:t>
      </w:r>
    </w:p>
    <w:p w14:paraId="116A88E0" w14:textId="77777777" w:rsidR="006009FA" w:rsidRDefault="006009FA">
      <w:pPr>
        <w:pStyle w:val="Index1"/>
        <w:tabs>
          <w:tab w:val="right" w:leader="dot" w:pos="3050"/>
        </w:tabs>
        <w:rPr>
          <w:noProof/>
        </w:rPr>
      </w:pPr>
      <w:r>
        <w:rPr>
          <w:noProof/>
        </w:rPr>
        <w:t>Rhodon, 159, 168, 177</w:t>
      </w:r>
    </w:p>
    <w:p w14:paraId="3F11B0AC" w14:textId="77777777" w:rsidR="006009FA" w:rsidRDefault="006009FA">
      <w:pPr>
        <w:pStyle w:val="Index1"/>
        <w:tabs>
          <w:tab w:val="right" w:leader="dot" w:pos="3050"/>
        </w:tabs>
        <w:rPr>
          <w:noProof/>
        </w:rPr>
      </w:pPr>
      <w:r>
        <w:rPr>
          <w:noProof/>
        </w:rPr>
        <w:t>Ruffinus, 130, 131, 156</w:t>
      </w:r>
    </w:p>
    <w:p w14:paraId="24B39246" w14:textId="77777777" w:rsidR="006009FA" w:rsidRDefault="006009FA">
      <w:pPr>
        <w:pStyle w:val="Index1"/>
        <w:tabs>
          <w:tab w:val="right" w:leader="dot" w:pos="3050"/>
        </w:tabs>
        <w:rPr>
          <w:noProof/>
        </w:rPr>
      </w:pPr>
      <w:r>
        <w:rPr>
          <w:noProof/>
        </w:rPr>
        <w:t>Ruinart, 191</w:t>
      </w:r>
    </w:p>
    <w:p w14:paraId="17FF4E77" w14:textId="77777777" w:rsidR="006009FA" w:rsidRDefault="006009FA">
      <w:pPr>
        <w:pStyle w:val="Index1"/>
        <w:tabs>
          <w:tab w:val="right" w:leader="dot" w:pos="3050"/>
        </w:tabs>
        <w:rPr>
          <w:noProof/>
        </w:rPr>
      </w:pPr>
      <w:r>
        <w:rPr>
          <w:noProof/>
        </w:rPr>
        <w:t>Rusticus, 153</w:t>
      </w:r>
    </w:p>
    <w:p w14:paraId="3871E633" w14:textId="77777777" w:rsidR="006009FA" w:rsidRDefault="006009FA">
      <w:pPr>
        <w:pStyle w:val="Index1"/>
        <w:tabs>
          <w:tab w:val="right" w:leader="dot" w:pos="3050"/>
        </w:tabs>
        <w:rPr>
          <w:noProof/>
        </w:rPr>
      </w:pPr>
      <w:r>
        <w:rPr>
          <w:noProof/>
        </w:rPr>
        <w:t>Saint, 30, 35, 36, 41, 84, 121, 174</w:t>
      </w:r>
    </w:p>
    <w:p w14:paraId="04990A7F" w14:textId="77777777" w:rsidR="006009FA" w:rsidRDefault="006009FA">
      <w:pPr>
        <w:pStyle w:val="Index1"/>
        <w:tabs>
          <w:tab w:val="right" w:leader="dot" w:pos="3050"/>
        </w:tabs>
        <w:rPr>
          <w:noProof/>
        </w:rPr>
      </w:pPr>
      <w:r>
        <w:rPr>
          <w:noProof/>
        </w:rPr>
        <w:t>Saint Clement of Alexandria, 35</w:t>
      </w:r>
    </w:p>
    <w:p w14:paraId="7E34670D" w14:textId="77777777" w:rsidR="006009FA" w:rsidRDefault="006009FA">
      <w:pPr>
        <w:pStyle w:val="Index1"/>
        <w:tabs>
          <w:tab w:val="right" w:leader="dot" w:pos="3050"/>
        </w:tabs>
        <w:rPr>
          <w:noProof/>
        </w:rPr>
      </w:pPr>
      <w:r>
        <w:rPr>
          <w:noProof/>
        </w:rPr>
        <w:t>Saint Dionysius of Alexandria, 77</w:t>
      </w:r>
    </w:p>
    <w:p w14:paraId="3B62516A" w14:textId="77777777" w:rsidR="006009FA" w:rsidRDefault="006009FA">
      <w:pPr>
        <w:pStyle w:val="Index1"/>
        <w:tabs>
          <w:tab w:val="right" w:leader="dot" w:pos="3050"/>
        </w:tabs>
        <w:rPr>
          <w:noProof/>
        </w:rPr>
      </w:pPr>
      <w:r>
        <w:rPr>
          <w:noProof/>
        </w:rPr>
        <w:t>Saint Epiphanius, 167</w:t>
      </w:r>
    </w:p>
    <w:p w14:paraId="45DA145E" w14:textId="77777777" w:rsidR="006009FA" w:rsidRDefault="006009FA">
      <w:pPr>
        <w:pStyle w:val="Index1"/>
        <w:tabs>
          <w:tab w:val="right" w:leader="dot" w:pos="3050"/>
        </w:tabs>
        <w:rPr>
          <w:noProof/>
        </w:rPr>
      </w:pPr>
      <w:r>
        <w:rPr>
          <w:noProof/>
        </w:rPr>
        <w:t>Saint Irenaeus, 41</w:t>
      </w:r>
    </w:p>
    <w:p w14:paraId="5A4C3137" w14:textId="77777777" w:rsidR="006009FA" w:rsidRDefault="006009FA">
      <w:pPr>
        <w:pStyle w:val="Index1"/>
        <w:tabs>
          <w:tab w:val="right" w:leader="dot" w:pos="3050"/>
        </w:tabs>
        <w:rPr>
          <w:noProof/>
        </w:rPr>
      </w:pPr>
      <w:r>
        <w:rPr>
          <w:noProof/>
        </w:rPr>
        <w:t>Saint John Damascene, 41</w:t>
      </w:r>
    </w:p>
    <w:p w14:paraId="3808E75E" w14:textId="77777777" w:rsidR="006009FA" w:rsidRDefault="006009FA">
      <w:pPr>
        <w:pStyle w:val="Index1"/>
        <w:tabs>
          <w:tab w:val="right" w:leader="dot" w:pos="3050"/>
        </w:tabs>
        <w:rPr>
          <w:noProof/>
        </w:rPr>
      </w:pPr>
      <w:r>
        <w:rPr>
          <w:noProof/>
        </w:rPr>
        <w:t>Saturninus, 163, 164</w:t>
      </w:r>
    </w:p>
    <w:p w14:paraId="48A0D990" w14:textId="77777777" w:rsidR="006009FA" w:rsidRDefault="006009FA">
      <w:pPr>
        <w:pStyle w:val="Index1"/>
        <w:tabs>
          <w:tab w:val="right" w:leader="dot" w:pos="3050"/>
        </w:tabs>
        <w:rPr>
          <w:noProof/>
        </w:rPr>
      </w:pPr>
      <w:r>
        <w:rPr>
          <w:noProof/>
        </w:rPr>
        <w:t>Scaliger, 130</w:t>
      </w:r>
    </w:p>
    <w:p w14:paraId="5DC7500A" w14:textId="77777777" w:rsidR="006009FA" w:rsidRDefault="006009FA">
      <w:pPr>
        <w:pStyle w:val="Index1"/>
        <w:tabs>
          <w:tab w:val="right" w:leader="dot" w:pos="3050"/>
        </w:tabs>
        <w:rPr>
          <w:noProof/>
        </w:rPr>
      </w:pPr>
      <w:r>
        <w:rPr>
          <w:noProof/>
        </w:rPr>
        <w:t>Serapion, 175, 176</w:t>
      </w:r>
    </w:p>
    <w:p w14:paraId="42566A99" w14:textId="77777777" w:rsidR="006009FA" w:rsidRDefault="006009FA">
      <w:pPr>
        <w:pStyle w:val="Index1"/>
        <w:tabs>
          <w:tab w:val="right" w:leader="dot" w:pos="3050"/>
        </w:tabs>
        <w:rPr>
          <w:noProof/>
        </w:rPr>
      </w:pPr>
      <w:r>
        <w:rPr>
          <w:noProof/>
        </w:rPr>
        <w:t>Severus, 59</w:t>
      </w:r>
    </w:p>
    <w:p w14:paraId="084436B1" w14:textId="77777777" w:rsidR="006009FA" w:rsidRDefault="006009FA">
      <w:pPr>
        <w:pStyle w:val="Index1"/>
        <w:tabs>
          <w:tab w:val="right" w:leader="dot" w:pos="3050"/>
        </w:tabs>
        <w:rPr>
          <w:noProof/>
        </w:rPr>
      </w:pPr>
      <w:r>
        <w:rPr>
          <w:noProof/>
        </w:rPr>
        <w:t>Sextus, 131, 139</w:t>
      </w:r>
    </w:p>
    <w:p w14:paraId="3BF2E63D" w14:textId="77777777" w:rsidR="006009FA" w:rsidRDefault="006009FA">
      <w:pPr>
        <w:pStyle w:val="Index1"/>
        <w:tabs>
          <w:tab w:val="right" w:leader="dot" w:pos="3050"/>
        </w:tabs>
        <w:rPr>
          <w:noProof/>
        </w:rPr>
      </w:pPr>
      <w:r>
        <w:rPr>
          <w:noProof/>
        </w:rPr>
        <w:t>Simon, 54</w:t>
      </w:r>
    </w:p>
    <w:p w14:paraId="70778601" w14:textId="77777777" w:rsidR="006009FA" w:rsidRDefault="006009FA">
      <w:pPr>
        <w:pStyle w:val="Index1"/>
        <w:tabs>
          <w:tab w:val="right" w:leader="dot" w:pos="3050"/>
        </w:tabs>
        <w:rPr>
          <w:noProof/>
        </w:rPr>
      </w:pPr>
      <w:r>
        <w:rPr>
          <w:noProof/>
        </w:rPr>
        <w:t>Sisinnius, 177</w:t>
      </w:r>
    </w:p>
    <w:p w14:paraId="345CB805" w14:textId="77777777" w:rsidR="006009FA" w:rsidRDefault="006009FA">
      <w:pPr>
        <w:pStyle w:val="Index1"/>
        <w:tabs>
          <w:tab w:val="right" w:leader="dot" w:pos="3050"/>
        </w:tabs>
        <w:rPr>
          <w:noProof/>
        </w:rPr>
      </w:pPr>
      <w:r>
        <w:rPr>
          <w:noProof/>
        </w:rPr>
        <w:t>Socrates, 26, 54, 55, 177</w:t>
      </w:r>
    </w:p>
    <w:p w14:paraId="640C61C5" w14:textId="77777777" w:rsidR="006009FA" w:rsidRDefault="006009FA">
      <w:pPr>
        <w:pStyle w:val="Index1"/>
        <w:tabs>
          <w:tab w:val="right" w:leader="dot" w:pos="3050"/>
        </w:tabs>
        <w:rPr>
          <w:noProof/>
        </w:rPr>
      </w:pPr>
      <w:r>
        <w:rPr>
          <w:noProof/>
        </w:rPr>
        <w:t>Solomon, 194</w:t>
      </w:r>
    </w:p>
    <w:p w14:paraId="4A0FA71F" w14:textId="77777777" w:rsidR="006009FA" w:rsidRDefault="006009FA">
      <w:pPr>
        <w:pStyle w:val="Index1"/>
        <w:tabs>
          <w:tab w:val="right" w:leader="dot" w:pos="3050"/>
        </w:tabs>
        <w:rPr>
          <w:noProof/>
        </w:rPr>
      </w:pPr>
      <w:r>
        <w:rPr>
          <w:noProof/>
        </w:rPr>
        <w:t>Soter, 185</w:t>
      </w:r>
    </w:p>
    <w:p w14:paraId="558B20F5" w14:textId="77777777" w:rsidR="006009FA" w:rsidRDefault="006009FA">
      <w:pPr>
        <w:pStyle w:val="Index1"/>
        <w:tabs>
          <w:tab w:val="right" w:leader="dot" w:pos="3050"/>
        </w:tabs>
        <w:rPr>
          <w:noProof/>
        </w:rPr>
      </w:pPr>
      <w:r>
        <w:rPr>
          <w:noProof/>
        </w:rPr>
        <w:t>St, 4, 9, 57, 60, 64, 68, 89, 90, 95, 112, 116, 135, 145, 146, 153, 163, 194</w:t>
      </w:r>
    </w:p>
    <w:p w14:paraId="557C48E5" w14:textId="77777777" w:rsidR="006009FA" w:rsidRDefault="006009FA">
      <w:pPr>
        <w:pStyle w:val="Index1"/>
        <w:tabs>
          <w:tab w:val="right" w:leader="dot" w:pos="3050"/>
        </w:tabs>
        <w:rPr>
          <w:noProof/>
        </w:rPr>
      </w:pPr>
      <w:r>
        <w:rPr>
          <w:noProof/>
        </w:rPr>
        <w:t>St. Justin, 38</w:t>
      </w:r>
    </w:p>
    <w:p w14:paraId="1C0556A1" w14:textId="77777777" w:rsidR="006009FA" w:rsidRDefault="006009FA">
      <w:pPr>
        <w:pStyle w:val="Index1"/>
        <w:tabs>
          <w:tab w:val="right" w:leader="dot" w:pos="3050"/>
        </w:tabs>
        <w:rPr>
          <w:noProof/>
        </w:rPr>
      </w:pPr>
      <w:r>
        <w:rPr>
          <w:noProof/>
        </w:rPr>
        <w:t>St. Justin the Martyr, 4</w:t>
      </w:r>
    </w:p>
    <w:p w14:paraId="13D92560" w14:textId="77777777" w:rsidR="006009FA" w:rsidRDefault="006009FA">
      <w:pPr>
        <w:pStyle w:val="Index1"/>
        <w:tabs>
          <w:tab w:val="right" w:leader="dot" w:pos="3050"/>
        </w:tabs>
        <w:rPr>
          <w:noProof/>
        </w:rPr>
      </w:pPr>
      <w:r>
        <w:rPr>
          <w:noProof/>
        </w:rPr>
        <w:t>Stephanus Gobarus, 112</w:t>
      </w:r>
    </w:p>
    <w:p w14:paraId="0C7B80E9" w14:textId="77777777" w:rsidR="006009FA" w:rsidRDefault="006009FA">
      <w:pPr>
        <w:pStyle w:val="Index1"/>
        <w:tabs>
          <w:tab w:val="right" w:leader="dot" w:pos="3050"/>
        </w:tabs>
        <w:rPr>
          <w:noProof/>
        </w:rPr>
      </w:pPr>
      <w:r>
        <w:rPr>
          <w:noProof/>
        </w:rPr>
        <w:t>Stephanus Gobarus Tritheita, 112</w:t>
      </w:r>
    </w:p>
    <w:p w14:paraId="790D247C" w14:textId="77777777" w:rsidR="006009FA" w:rsidRDefault="006009FA">
      <w:pPr>
        <w:pStyle w:val="Index1"/>
        <w:tabs>
          <w:tab w:val="right" w:leader="dot" w:pos="3050"/>
        </w:tabs>
        <w:rPr>
          <w:noProof/>
        </w:rPr>
      </w:pPr>
      <w:r>
        <w:rPr>
          <w:noProof/>
        </w:rPr>
        <w:t>Stephen, 100</w:t>
      </w:r>
    </w:p>
    <w:p w14:paraId="083DB1F2" w14:textId="77777777" w:rsidR="006009FA" w:rsidRDefault="006009FA">
      <w:pPr>
        <w:pStyle w:val="Index1"/>
        <w:tabs>
          <w:tab w:val="right" w:leader="dot" w:pos="3050"/>
        </w:tabs>
        <w:rPr>
          <w:noProof/>
        </w:rPr>
      </w:pPr>
      <w:r>
        <w:rPr>
          <w:noProof/>
        </w:rPr>
        <w:t>Suffridus, 13, 14</w:t>
      </w:r>
    </w:p>
    <w:p w14:paraId="41E03EFF" w14:textId="77777777" w:rsidR="006009FA" w:rsidRDefault="006009FA">
      <w:pPr>
        <w:pStyle w:val="Index1"/>
        <w:tabs>
          <w:tab w:val="right" w:leader="dot" w:pos="3050"/>
        </w:tabs>
        <w:rPr>
          <w:noProof/>
        </w:rPr>
      </w:pPr>
      <w:r>
        <w:rPr>
          <w:noProof/>
        </w:rPr>
        <w:t>Sulpicius, 59, 99</w:t>
      </w:r>
    </w:p>
    <w:p w14:paraId="52DD8B50" w14:textId="77777777" w:rsidR="006009FA" w:rsidRDefault="006009FA">
      <w:pPr>
        <w:pStyle w:val="Index1"/>
        <w:tabs>
          <w:tab w:val="right" w:leader="dot" w:pos="3050"/>
        </w:tabs>
        <w:rPr>
          <w:noProof/>
        </w:rPr>
      </w:pPr>
      <w:r>
        <w:rPr>
          <w:noProof/>
        </w:rPr>
        <w:t>Sylburgius, 11, 132</w:t>
      </w:r>
    </w:p>
    <w:p w14:paraId="18364B44" w14:textId="77777777" w:rsidR="006009FA" w:rsidRDefault="006009FA">
      <w:pPr>
        <w:pStyle w:val="Index1"/>
        <w:tabs>
          <w:tab w:val="right" w:leader="dot" w:pos="3050"/>
        </w:tabs>
        <w:rPr>
          <w:noProof/>
        </w:rPr>
      </w:pPr>
      <w:r>
        <w:rPr>
          <w:noProof/>
        </w:rPr>
        <w:t>Tacitus, 123, 127, 138</w:t>
      </w:r>
    </w:p>
    <w:p w14:paraId="75F222F3" w14:textId="77777777" w:rsidR="006009FA" w:rsidRDefault="006009FA">
      <w:pPr>
        <w:pStyle w:val="Index1"/>
        <w:tabs>
          <w:tab w:val="right" w:leader="dot" w:pos="3050"/>
        </w:tabs>
        <w:rPr>
          <w:noProof/>
        </w:rPr>
      </w:pPr>
      <w:r>
        <w:rPr>
          <w:noProof/>
        </w:rPr>
        <w:t>Tatian, 4, 10, 12, 15, 17, 43, 44, 45, 57, 78, 82, 83, 84, 102, 114, 117, 148, 153, 155, 156, 157, 158, 159, 160, 161, 162, 163, 164, 165, 167, 168, 169, 170, 171, 172, 173, 174, 175, 176, 181, 192, 194</w:t>
      </w:r>
    </w:p>
    <w:p w14:paraId="6533CDC5" w14:textId="77777777" w:rsidR="006009FA" w:rsidRDefault="006009FA">
      <w:pPr>
        <w:pStyle w:val="Index1"/>
        <w:tabs>
          <w:tab w:val="right" w:leader="dot" w:pos="3050"/>
        </w:tabs>
        <w:rPr>
          <w:noProof/>
        </w:rPr>
      </w:pPr>
      <w:r>
        <w:rPr>
          <w:noProof/>
        </w:rPr>
        <w:t>Tatianus, 156, 158</w:t>
      </w:r>
    </w:p>
    <w:p w14:paraId="0F69E466" w14:textId="77777777" w:rsidR="006009FA" w:rsidRDefault="006009FA">
      <w:pPr>
        <w:pStyle w:val="Index1"/>
        <w:tabs>
          <w:tab w:val="right" w:leader="dot" w:pos="3050"/>
        </w:tabs>
        <w:rPr>
          <w:noProof/>
        </w:rPr>
      </w:pPr>
      <w:r>
        <w:rPr>
          <w:noProof/>
        </w:rPr>
        <w:t xml:space="preserve">Tertullian, 34, 35, 41, 55, 61, 64, 66, 67, 68, 73, 77, 81, 90, 109, 120, 123, 125, 127, 128, 133, 134, 136, 138, 153, 162, </w:t>
      </w:r>
      <w:r>
        <w:rPr>
          <w:noProof/>
        </w:rPr>
        <w:lastRenderedPageBreak/>
        <w:t>165, 182, 183, 184, 185, 186, 187, 188, 189, 190, 191</w:t>
      </w:r>
    </w:p>
    <w:p w14:paraId="6C6BCAC2" w14:textId="77777777" w:rsidR="006009FA" w:rsidRDefault="006009FA">
      <w:pPr>
        <w:pStyle w:val="Index1"/>
        <w:tabs>
          <w:tab w:val="right" w:leader="dot" w:pos="3050"/>
        </w:tabs>
        <w:rPr>
          <w:noProof/>
        </w:rPr>
      </w:pPr>
      <w:r>
        <w:rPr>
          <w:noProof/>
        </w:rPr>
        <w:t>Themistius, 155</w:t>
      </w:r>
    </w:p>
    <w:p w14:paraId="7E4E6D08" w14:textId="77777777" w:rsidR="006009FA" w:rsidRDefault="006009FA">
      <w:pPr>
        <w:pStyle w:val="Index1"/>
        <w:tabs>
          <w:tab w:val="right" w:leader="dot" w:pos="3050"/>
        </w:tabs>
        <w:rPr>
          <w:noProof/>
        </w:rPr>
      </w:pPr>
      <w:r>
        <w:rPr>
          <w:noProof/>
        </w:rPr>
        <w:t>Theodore of Heraclea, 101</w:t>
      </w:r>
    </w:p>
    <w:p w14:paraId="21B9D627" w14:textId="77777777" w:rsidR="006009FA" w:rsidRDefault="006009FA">
      <w:pPr>
        <w:pStyle w:val="Index1"/>
        <w:tabs>
          <w:tab w:val="right" w:leader="dot" w:pos="3050"/>
        </w:tabs>
        <w:rPr>
          <w:noProof/>
        </w:rPr>
      </w:pPr>
      <w:r>
        <w:rPr>
          <w:noProof/>
        </w:rPr>
        <w:t>Theodoret, 138, 139, 155, 164, 165, 166, 176</w:t>
      </w:r>
    </w:p>
    <w:p w14:paraId="71594E96" w14:textId="77777777" w:rsidR="006009FA" w:rsidRDefault="006009FA">
      <w:pPr>
        <w:pStyle w:val="Index1"/>
        <w:tabs>
          <w:tab w:val="right" w:leader="dot" w:pos="3050"/>
        </w:tabs>
        <w:rPr>
          <w:noProof/>
        </w:rPr>
      </w:pPr>
      <w:r>
        <w:rPr>
          <w:noProof/>
        </w:rPr>
        <w:t>Theodoretes, 163</w:t>
      </w:r>
    </w:p>
    <w:p w14:paraId="0A28C815" w14:textId="77777777" w:rsidR="006009FA" w:rsidRDefault="006009FA">
      <w:pPr>
        <w:pStyle w:val="Index1"/>
        <w:tabs>
          <w:tab w:val="right" w:leader="dot" w:pos="3050"/>
        </w:tabs>
        <w:rPr>
          <w:noProof/>
        </w:rPr>
      </w:pPr>
      <w:r>
        <w:rPr>
          <w:noProof/>
        </w:rPr>
        <w:t>Theodorus, 147</w:t>
      </w:r>
    </w:p>
    <w:p w14:paraId="59907D35" w14:textId="77777777" w:rsidR="006009FA" w:rsidRDefault="006009FA">
      <w:pPr>
        <w:pStyle w:val="Index1"/>
        <w:tabs>
          <w:tab w:val="right" w:leader="dot" w:pos="3050"/>
        </w:tabs>
        <w:rPr>
          <w:noProof/>
        </w:rPr>
      </w:pPr>
      <w:r>
        <w:rPr>
          <w:noProof/>
        </w:rPr>
        <w:t>Theophilus, 4, 10, 12, 16, 17, 39, 40, 41, 43, 46, 102, 172, 191, 192, 193, 194, 195, 196, 197, 198, 199</w:t>
      </w:r>
    </w:p>
    <w:p w14:paraId="17204135" w14:textId="77777777" w:rsidR="006009FA" w:rsidRDefault="006009FA">
      <w:pPr>
        <w:pStyle w:val="Index1"/>
        <w:tabs>
          <w:tab w:val="right" w:leader="dot" w:pos="3050"/>
        </w:tabs>
        <w:rPr>
          <w:noProof/>
        </w:rPr>
      </w:pPr>
      <w:r>
        <w:rPr>
          <w:noProof/>
        </w:rPr>
        <w:t>Theophilus of Antioch, 4, 46, 194, 198</w:t>
      </w:r>
    </w:p>
    <w:p w14:paraId="4B7257C2" w14:textId="77777777" w:rsidR="006009FA" w:rsidRDefault="006009FA">
      <w:pPr>
        <w:pStyle w:val="Index1"/>
        <w:tabs>
          <w:tab w:val="right" w:leader="dot" w:pos="3050"/>
        </w:tabs>
        <w:rPr>
          <w:noProof/>
        </w:rPr>
      </w:pPr>
      <w:r>
        <w:rPr>
          <w:noProof/>
        </w:rPr>
        <w:t>Tillemont, 140</w:t>
      </w:r>
    </w:p>
    <w:p w14:paraId="7C9D8E95" w14:textId="77777777" w:rsidR="006009FA" w:rsidRDefault="006009FA">
      <w:pPr>
        <w:pStyle w:val="Index1"/>
        <w:tabs>
          <w:tab w:val="right" w:leader="dot" w:pos="3050"/>
        </w:tabs>
        <w:rPr>
          <w:noProof/>
        </w:rPr>
      </w:pPr>
      <w:r>
        <w:rPr>
          <w:noProof/>
        </w:rPr>
        <w:t>Timaeus of Locri, 19, 20</w:t>
      </w:r>
    </w:p>
    <w:p w14:paraId="4373D38E" w14:textId="77777777" w:rsidR="006009FA" w:rsidRDefault="006009FA">
      <w:pPr>
        <w:pStyle w:val="Index1"/>
        <w:tabs>
          <w:tab w:val="right" w:leader="dot" w:pos="3050"/>
        </w:tabs>
        <w:rPr>
          <w:noProof/>
        </w:rPr>
      </w:pPr>
      <w:r>
        <w:rPr>
          <w:noProof/>
        </w:rPr>
        <w:t>Trypho, 52, 58</w:t>
      </w:r>
    </w:p>
    <w:p w14:paraId="4D87B7F1" w14:textId="77777777" w:rsidR="006009FA" w:rsidRDefault="006009FA">
      <w:pPr>
        <w:pStyle w:val="Index1"/>
        <w:tabs>
          <w:tab w:val="right" w:leader="dot" w:pos="3050"/>
        </w:tabs>
        <w:rPr>
          <w:noProof/>
        </w:rPr>
      </w:pPr>
      <w:r>
        <w:rPr>
          <w:noProof/>
        </w:rPr>
        <w:t>Urbicus, 151</w:t>
      </w:r>
    </w:p>
    <w:p w14:paraId="6AA86BB8" w14:textId="77777777" w:rsidR="006009FA" w:rsidRDefault="006009FA">
      <w:pPr>
        <w:pStyle w:val="Index1"/>
        <w:tabs>
          <w:tab w:val="right" w:leader="dot" w:pos="3050"/>
        </w:tabs>
        <w:rPr>
          <w:noProof/>
        </w:rPr>
      </w:pPr>
      <w:r>
        <w:rPr>
          <w:noProof/>
        </w:rPr>
        <w:t>V. Justin, 75</w:t>
      </w:r>
    </w:p>
    <w:p w14:paraId="5A396382" w14:textId="77777777" w:rsidR="006009FA" w:rsidRDefault="006009FA">
      <w:pPr>
        <w:pStyle w:val="Index1"/>
        <w:tabs>
          <w:tab w:val="right" w:leader="dot" w:pos="3050"/>
        </w:tabs>
        <w:rPr>
          <w:noProof/>
        </w:rPr>
      </w:pPr>
      <w:r>
        <w:rPr>
          <w:noProof/>
        </w:rPr>
        <w:t>Valentinians, 162</w:t>
      </w:r>
    </w:p>
    <w:p w14:paraId="66AB611E" w14:textId="77777777" w:rsidR="006009FA" w:rsidRDefault="006009FA">
      <w:pPr>
        <w:pStyle w:val="Index1"/>
        <w:tabs>
          <w:tab w:val="right" w:leader="dot" w:pos="3050"/>
        </w:tabs>
        <w:rPr>
          <w:noProof/>
        </w:rPr>
      </w:pPr>
      <w:r>
        <w:rPr>
          <w:noProof/>
        </w:rPr>
        <w:t>Valentinus, 162, 163, 164, 170</w:t>
      </w:r>
    </w:p>
    <w:p w14:paraId="57B9B582" w14:textId="77777777" w:rsidR="006009FA" w:rsidRDefault="006009FA">
      <w:pPr>
        <w:pStyle w:val="Index1"/>
        <w:tabs>
          <w:tab w:val="right" w:leader="dot" w:pos="3050"/>
        </w:tabs>
        <w:rPr>
          <w:noProof/>
        </w:rPr>
      </w:pPr>
      <w:r>
        <w:rPr>
          <w:noProof/>
        </w:rPr>
        <w:t>Valentinus Cratoaldus, 8</w:t>
      </w:r>
    </w:p>
    <w:p w14:paraId="0A750E80" w14:textId="77777777" w:rsidR="006009FA" w:rsidRDefault="006009FA">
      <w:pPr>
        <w:pStyle w:val="Index1"/>
        <w:tabs>
          <w:tab w:val="right" w:leader="dot" w:pos="3050"/>
        </w:tabs>
        <w:rPr>
          <w:noProof/>
        </w:rPr>
      </w:pPr>
      <w:r>
        <w:rPr>
          <w:noProof/>
        </w:rPr>
        <w:t>Valesius, 78, 115, 119, 130, 138, 151, 191, 194</w:t>
      </w:r>
    </w:p>
    <w:p w14:paraId="47BA08E9" w14:textId="77777777" w:rsidR="006009FA" w:rsidRDefault="006009FA">
      <w:pPr>
        <w:pStyle w:val="Index1"/>
        <w:tabs>
          <w:tab w:val="right" w:leader="dot" w:pos="3050"/>
        </w:tabs>
        <w:rPr>
          <w:noProof/>
        </w:rPr>
      </w:pPr>
      <w:r>
        <w:rPr>
          <w:noProof/>
        </w:rPr>
        <w:t>Verissimus, 132</w:t>
      </w:r>
    </w:p>
    <w:p w14:paraId="46F4A644" w14:textId="77777777" w:rsidR="006009FA" w:rsidRDefault="006009FA">
      <w:pPr>
        <w:pStyle w:val="Index1"/>
        <w:tabs>
          <w:tab w:val="right" w:leader="dot" w:pos="3050"/>
        </w:tabs>
        <w:rPr>
          <w:noProof/>
        </w:rPr>
      </w:pPr>
      <w:r>
        <w:rPr>
          <w:noProof/>
        </w:rPr>
        <w:t>Victor, 185</w:t>
      </w:r>
    </w:p>
    <w:p w14:paraId="329B4D74" w14:textId="77777777" w:rsidR="006009FA" w:rsidRDefault="006009FA">
      <w:pPr>
        <w:pStyle w:val="Index1"/>
        <w:tabs>
          <w:tab w:val="right" w:leader="dot" w:pos="3050"/>
        </w:tabs>
        <w:rPr>
          <w:noProof/>
        </w:rPr>
      </w:pPr>
      <w:r>
        <w:rPr>
          <w:noProof/>
        </w:rPr>
        <w:t>Victor of Capua, 173</w:t>
      </w:r>
    </w:p>
    <w:p w14:paraId="0AF73150" w14:textId="77777777" w:rsidR="006009FA" w:rsidRDefault="006009FA">
      <w:pPr>
        <w:pStyle w:val="Index1"/>
        <w:tabs>
          <w:tab w:val="right" w:leader="dot" w:pos="3050"/>
        </w:tabs>
        <w:rPr>
          <w:noProof/>
        </w:rPr>
      </w:pPr>
      <w:r>
        <w:rPr>
          <w:noProof/>
        </w:rPr>
        <w:t>Victorinus, 99</w:t>
      </w:r>
    </w:p>
    <w:p w14:paraId="482B7931" w14:textId="77777777" w:rsidR="006009FA" w:rsidRDefault="006009FA">
      <w:pPr>
        <w:pStyle w:val="Index1"/>
        <w:tabs>
          <w:tab w:val="right" w:leader="dot" w:pos="3050"/>
        </w:tabs>
        <w:rPr>
          <w:noProof/>
        </w:rPr>
      </w:pPr>
      <w:r>
        <w:rPr>
          <w:noProof/>
        </w:rPr>
        <w:t>Vincent of Lirin, 9</w:t>
      </w:r>
    </w:p>
    <w:p w14:paraId="46D5304E" w14:textId="77777777" w:rsidR="006009FA" w:rsidRDefault="006009FA">
      <w:pPr>
        <w:pStyle w:val="Index1"/>
        <w:tabs>
          <w:tab w:val="right" w:leader="dot" w:pos="3050"/>
        </w:tabs>
        <w:rPr>
          <w:noProof/>
        </w:rPr>
      </w:pPr>
      <w:r>
        <w:rPr>
          <w:noProof/>
        </w:rPr>
        <w:t>Vopiscus, 137</w:t>
      </w:r>
    </w:p>
    <w:p w14:paraId="7BAB0290" w14:textId="77777777" w:rsidR="006009FA" w:rsidRDefault="006009FA">
      <w:pPr>
        <w:pStyle w:val="Index1"/>
        <w:tabs>
          <w:tab w:val="right" w:leader="dot" w:pos="3050"/>
        </w:tabs>
        <w:rPr>
          <w:noProof/>
        </w:rPr>
      </w:pPr>
      <w:r>
        <w:rPr>
          <w:noProof/>
        </w:rPr>
        <w:t>Zenas, 6</w:t>
      </w:r>
    </w:p>
    <w:p w14:paraId="2A88D30F" w14:textId="6A8E5388" w:rsidR="005C2B3E" w:rsidRDefault="00000000">
      <w:r>
        <w:fldChar w:fldCharType="end"/>
      </w:r>
    </w:p>
    <w:p w14:paraId="5E15ADC8" w14:textId="77777777" w:rsidR="005C2B3E" w:rsidRDefault="005C2B3E">
      <w:pPr>
        <w:sectPr w:rsidR="005C2B3E">
          <w:footnotePr>
            <w:numRestart w:val="eachSect"/>
          </w:footnotePr>
          <w:type w:val="continuous"/>
          <w:pgSz w:w="8640" w:h="12960" w:code="9"/>
          <w:pgMar w:top="1080" w:right="720" w:bottom="1080" w:left="360" w:header="504" w:footer="504" w:gutter="720"/>
          <w:cols w:num="2" w:space="720"/>
          <w:titlePg/>
          <w:docGrid w:linePitch="360"/>
        </w:sectPr>
      </w:pPr>
    </w:p>
    <w:p w14:paraId="00B8A881" w14:textId="77777777" w:rsidR="00FC09ED" w:rsidRDefault="00FC09ED"/>
    <w:sectPr w:rsidR="00FC09ED" w:rsidSect="008137CD">
      <w:footnotePr>
        <w:numRestart w:val="eachSect"/>
      </w:footnotePr>
      <w:type w:val="continuous"/>
      <w:pgSz w:w="8640" w:h="12960" w:code="9"/>
      <w:pgMar w:top="1080" w:right="720" w:bottom="1080" w:left="360" w:header="504" w:footer="504" w:gutter="72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D487AA" w14:textId="77777777" w:rsidR="00FC09ED" w:rsidRDefault="00FC09ED">
      <w:r>
        <w:separator/>
      </w:r>
    </w:p>
  </w:endnote>
  <w:endnote w:type="continuationSeparator" w:id="0">
    <w:p w14:paraId="62773C76" w14:textId="77777777" w:rsidR="00FC09ED" w:rsidRDefault="00FC09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embedRegular r:id="rId1" w:fontKey="{9276E1F3-19AC-4489-A056-0D603341C306}"/>
  </w:font>
  <w:font w:name="Wingdings">
    <w:panose1 w:val="05000000000000000000"/>
    <w:charset w:val="02"/>
    <w:family w:val="auto"/>
    <w:pitch w:val="variable"/>
    <w:sig w:usb0="00000000" w:usb1="10000000" w:usb2="00000000" w:usb3="00000000" w:csb0="80000000" w:csb1="00000000"/>
  </w:font>
  <w:font w:name="ClassGarmnd BT">
    <w:charset w:val="00"/>
    <w:family w:val="roman"/>
    <w:pitch w:val="variable"/>
    <w:sig w:usb0="20007A87" w:usb1="80000000" w:usb2="00000008" w:usb3="00000000" w:csb0="000001FF" w:csb1="00000000"/>
  </w:font>
  <w:font w:name="Minion Pro">
    <w:altName w:val="Cambria"/>
    <w:panose1 w:val="02040503050201020203"/>
    <w:charset w:val="00"/>
    <w:family w:val="roman"/>
    <w:notTrueType/>
    <w:pitch w:val="variable"/>
    <w:sig w:usb0="E00002AF" w:usb1="5000E07B" w:usb2="00000000" w:usb3="00000000" w:csb0="0000019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8000012" w:usb3="00000000" w:csb0="0002009F" w:csb1="00000000"/>
  </w:font>
  <w:font w:name="Minion Pro SmBd">
    <w:altName w:val="Cambria"/>
    <w:panose1 w:val="02040603060201020203"/>
    <w:charset w:val="00"/>
    <w:family w:val="roman"/>
    <w:notTrueType/>
    <w:pitch w:val="variable"/>
    <w:sig w:usb0="60000287" w:usb1="00000001" w:usb2="00000000" w:usb3="00000000" w:csb0="0000019F" w:csb1="00000000"/>
  </w:font>
  <w:font w:name="Dax-Regular">
    <w:altName w:val="Calibri"/>
    <w:charset w:val="00"/>
    <w:family w:val="auto"/>
    <w:pitch w:val="variable"/>
    <w:sig w:usb0="8000002F" w:usb1="4000004A" w:usb2="00000000" w:usb3="00000000" w:csb0="00000001" w:csb1="00000000"/>
  </w:font>
  <w:font w:name="Dax-Medium">
    <w:charset w:val="00"/>
    <w:family w:val="auto"/>
    <w:pitch w:val="variable"/>
    <w:sig w:usb0="8000002F" w:usb1="4000004A"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rill">
    <w:charset w:val="00"/>
    <w:family w:val="swiss"/>
    <w:pitch w:val="variable"/>
    <w:sig w:usb0="E00002FF" w:usb1="4200E4FB"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181EF5" w14:textId="77777777" w:rsidR="00FC09ED" w:rsidRDefault="00FC09ED">
      <w:r>
        <w:separator/>
      </w:r>
    </w:p>
  </w:footnote>
  <w:footnote w:type="continuationSeparator" w:id="0">
    <w:p w14:paraId="3A15EB17" w14:textId="77777777" w:rsidR="00FC09ED" w:rsidRDefault="00FC09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06012" w14:textId="3C15D517" w:rsidR="00AD07C1" w:rsidRPr="00FA3936" w:rsidRDefault="00AD07C1" w:rsidP="00C13073">
    <w:pPr>
      <w:pStyle w:val="Header"/>
      <w:tabs>
        <w:tab w:val="clear" w:pos="4253"/>
        <w:tab w:val="clear" w:pos="8505"/>
        <w:tab w:val="right" w:pos="6840"/>
      </w:tabs>
      <w:rPr>
        <w:lang w:val="en-US"/>
        <w14:ligatures w14:val="standard"/>
        <w14:numForm w14:val="oldStyle"/>
        <w14:cntxtAlts/>
      </w:rPr>
    </w:pPr>
    <w:r>
      <w:rPr>
        <w14:ligatures w14:val="standard"/>
        <w14:numForm w14:val="oldStyle"/>
        <w14:cntxtAlts/>
      </w:rPr>
      <w:fldChar w:fldCharType="begin"/>
    </w:r>
    <w:r>
      <w:rPr>
        <w14:ligatures w14:val="standard"/>
        <w14:numForm w14:val="oldStyle"/>
        <w14:cntxtAlts/>
      </w:rPr>
      <w:instrText xml:space="preserve"> PAGE  \* Arabic  \* MERGEFORMAT </w:instrText>
    </w:r>
    <w:r>
      <w:rPr>
        <w14:ligatures w14:val="standard"/>
        <w14:numForm w14:val="oldStyle"/>
        <w14:cntxtAlts/>
      </w:rPr>
      <w:fldChar w:fldCharType="separate"/>
    </w:r>
    <w:r>
      <w:rPr>
        <w:noProof/>
        <w14:ligatures w14:val="standard"/>
        <w14:numForm w14:val="oldStyle"/>
        <w14:cntxtAlts/>
      </w:rPr>
      <w:t>16</w:t>
    </w:r>
    <w:r>
      <w:rPr>
        <w14:ligatures w14:val="standard"/>
        <w14:numForm w14:val="oldStyle"/>
        <w14:cntxtAlts/>
      </w:rPr>
      <w:fldChar w:fldCharType="end"/>
    </w:r>
    <w:r w:rsidRPr="00FA3936">
      <w:rPr>
        <w:noProof/>
        <w14:ligatures w14:val="standard"/>
        <w14:numForm w14:val="oldStyle"/>
        <w14:cntxtAlts/>
      </w:rPr>
      <w:tab/>
    </w:r>
    <w:r w:rsidR="009E7423">
      <w:rPr>
        <w:i/>
        <w:noProof/>
        <w14:ligatures w14:val="standard"/>
        <w14:numForm w14:val="oldStyle"/>
        <w14:cntxtAlts/>
      </w:rPr>
      <w:fldChar w:fldCharType="begin"/>
    </w:r>
    <w:r w:rsidR="009E7423">
      <w:rPr>
        <w:i/>
        <w:noProof/>
        <w14:ligatures w14:val="standard"/>
        <w14:numForm w14:val="oldStyle"/>
        <w14:cntxtAlts/>
      </w:rPr>
      <w:instrText xml:space="preserve"> STYLEREF  "Heading 1"  \* MERGEFORMAT </w:instrText>
    </w:r>
    <w:r w:rsidR="009E7423">
      <w:rPr>
        <w:i/>
        <w:noProof/>
        <w14:ligatures w14:val="standard"/>
        <w14:numForm w14:val="oldStyle"/>
        <w14:cntxtAlts/>
      </w:rPr>
      <w:fldChar w:fldCharType="separate"/>
    </w:r>
    <w:r w:rsidR="006009FA" w:rsidRPr="006009FA">
      <w:rPr>
        <w:b/>
        <w:bCs/>
        <w:i/>
        <w:noProof/>
        <w:lang w:val="en-US"/>
        <w14:ligatures w14:val="standard"/>
        <w14:numForm w14:val="oldStyle"/>
        <w14:cntxtAlts/>
      </w:rPr>
      <w:t>PREFACE</w:t>
    </w:r>
    <w:r w:rsidR="009E7423">
      <w:rPr>
        <w:i/>
        <w:noProof/>
        <w14:ligatures w14:val="standard"/>
        <w14:numForm w14:val="oldStyle"/>
        <w14:cntxtAlts/>
      </w:rPr>
      <w:fldChar w:fldCharType="end"/>
    </w:r>
    <w:r w:rsidR="009E7423">
      <w:rPr>
        <w:i/>
        <w:noProof/>
        <w14:ligatures w14:val="standard"/>
        <w14:numForm w14:val="oldStyle"/>
        <w14:cntxtAlts/>
      </w:rPr>
      <w:t xml:space="preserve"> </w:t>
    </w:r>
    <w:r w:rsidR="009E7423">
      <w:rPr>
        <w:i/>
        <w:noProof/>
        <w14:ligatures w14:val="standard"/>
        <w14:numForm w14:val="oldStyle"/>
        <w14:cntxtAlts/>
      </w:rPr>
      <w:fldChar w:fldCharType="begin"/>
    </w:r>
    <w:r w:rsidR="009E7423">
      <w:rPr>
        <w:i/>
        <w:noProof/>
        <w14:ligatures w14:val="standard"/>
        <w14:numForm w14:val="oldStyle"/>
        <w14:cntxtAlts/>
      </w:rPr>
      <w:instrText xml:space="preserve"> STYLEREF  "Heading 2"  \* MERGEFORMAT </w:instrText>
    </w:r>
    <w:r w:rsidR="005064E6">
      <w:rPr>
        <w:i/>
        <w:noProof/>
        <w14:ligatures w14:val="standard"/>
        <w14:numForm w14:val="oldStyle"/>
        <w14:cntxtAlts/>
      </w:rPr>
      <w:fldChar w:fldCharType="separate"/>
    </w:r>
    <w:r w:rsidR="006009FA">
      <w:rPr>
        <w:i/>
        <w:noProof/>
        <w14:ligatures w14:val="standard"/>
        <w14:numForm w14:val="oldStyle"/>
        <w14:cntxtAlts/>
      </w:rPr>
      <w:t>PART II OF THE PREFACE</w:t>
    </w:r>
    <w:r w:rsidR="009E7423">
      <w:rPr>
        <w:i/>
        <w:noProof/>
        <w14:ligatures w14:val="standard"/>
        <w14:numForm w14:val="oldStyle"/>
        <w14:cntxtAlts/>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33CBA" w14:textId="6EB3A8BF" w:rsidR="00AD07C1" w:rsidRPr="00CF27CA" w:rsidRDefault="009E7423" w:rsidP="00504870">
    <w:pPr>
      <w:pStyle w:val="Header"/>
      <w:tabs>
        <w:tab w:val="clear" w:pos="4253"/>
        <w:tab w:val="clear" w:pos="8505"/>
        <w:tab w:val="right" w:pos="6840"/>
      </w:tabs>
      <w:jc w:val="left"/>
      <w:rPr>
        <w:szCs w:val="18"/>
        <w14:ligatures w14:val="standard"/>
        <w14:numForm w14:val="oldStyle"/>
      </w:rPr>
    </w:pPr>
    <w:r>
      <w:rPr>
        <w:i/>
        <w:szCs w:val="18"/>
        <w14:ligatures w14:val="standard"/>
        <w14:numForm w14:val="oldStyle"/>
      </w:rPr>
      <w:fldChar w:fldCharType="begin"/>
    </w:r>
    <w:r>
      <w:rPr>
        <w:i/>
        <w:szCs w:val="18"/>
        <w14:ligatures w14:val="standard"/>
        <w14:numForm w14:val="oldStyle"/>
      </w:rPr>
      <w:instrText xml:space="preserve"> STYLEREF  "Heading 1"  \* MERGEFORMAT </w:instrText>
    </w:r>
    <w:r>
      <w:rPr>
        <w:i/>
        <w:szCs w:val="18"/>
        <w14:ligatures w14:val="standard"/>
        <w14:numForm w14:val="oldStyle"/>
      </w:rPr>
      <w:fldChar w:fldCharType="separate"/>
    </w:r>
    <w:r w:rsidR="006009FA" w:rsidRPr="006009FA">
      <w:rPr>
        <w:b/>
        <w:bCs/>
        <w:i/>
        <w:noProof/>
        <w:szCs w:val="18"/>
        <w:lang w:val="en-US"/>
        <w14:ligatures w14:val="standard"/>
        <w14:numForm w14:val="oldStyle"/>
      </w:rPr>
      <w:t>PREFACE</w:t>
    </w:r>
    <w:r>
      <w:rPr>
        <w:i/>
        <w:szCs w:val="18"/>
        <w14:ligatures w14:val="standard"/>
        <w14:numForm w14:val="oldStyle"/>
      </w:rPr>
      <w:fldChar w:fldCharType="end"/>
    </w:r>
    <w:r>
      <w:rPr>
        <w:i/>
        <w:szCs w:val="18"/>
        <w14:ligatures w14:val="standard"/>
        <w14:numForm w14:val="oldStyle"/>
      </w:rPr>
      <w:t xml:space="preserve"> </w:t>
    </w:r>
    <w:r>
      <w:rPr>
        <w:i/>
        <w:szCs w:val="18"/>
        <w14:ligatures w14:val="standard"/>
        <w14:numForm w14:val="oldStyle"/>
      </w:rPr>
      <w:fldChar w:fldCharType="begin"/>
    </w:r>
    <w:r>
      <w:rPr>
        <w:i/>
        <w:szCs w:val="18"/>
        <w14:ligatures w14:val="standard"/>
        <w14:numForm w14:val="oldStyle"/>
      </w:rPr>
      <w:instrText xml:space="preserve"> STYLEREF  "Heading 2"  \* MERGEFORMAT </w:instrText>
    </w:r>
    <w:r w:rsidR="005064E6">
      <w:rPr>
        <w:i/>
        <w:szCs w:val="18"/>
        <w14:ligatures w14:val="standard"/>
        <w14:numForm w14:val="oldStyle"/>
      </w:rPr>
      <w:fldChar w:fldCharType="separate"/>
    </w:r>
    <w:r w:rsidR="006009FA">
      <w:rPr>
        <w:i/>
        <w:noProof/>
        <w:szCs w:val="18"/>
        <w14:ligatures w14:val="standard"/>
        <w14:numForm w14:val="oldStyle"/>
      </w:rPr>
      <w:t>PART II OF THE PREFACE</w:t>
    </w:r>
    <w:r>
      <w:rPr>
        <w:i/>
        <w:szCs w:val="18"/>
        <w14:ligatures w14:val="standard"/>
        <w14:numForm w14:val="oldStyle"/>
      </w:rPr>
      <w:fldChar w:fldCharType="end"/>
    </w:r>
    <w:r w:rsidR="00AD07C1" w:rsidRPr="00CF27CA">
      <w:rPr>
        <w:szCs w:val="18"/>
        <w14:ligatures w14:val="standard"/>
        <w14:numForm w14:val="oldStyle"/>
      </w:rPr>
      <w:tab/>
    </w:r>
    <w:r w:rsidR="00AD07C1">
      <w:rPr>
        <w:szCs w:val="18"/>
        <w14:ligatures w14:val="standard"/>
        <w14:numForm w14:val="oldStyle"/>
      </w:rPr>
      <w:fldChar w:fldCharType="begin"/>
    </w:r>
    <w:r w:rsidR="00AD07C1">
      <w:rPr>
        <w:szCs w:val="18"/>
        <w14:ligatures w14:val="standard"/>
        <w14:numForm w14:val="oldStyle"/>
      </w:rPr>
      <w:instrText xml:space="preserve"> PAGE  \* Arabic  \* MERGEFORMAT </w:instrText>
    </w:r>
    <w:r w:rsidR="00AD07C1">
      <w:rPr>
        <w:szCs w:val="18"/>
        <w14:ligatures w14:val="standard"/>
        <w14:numForm w14:val="oldStyle"/>
      </w:rPr>
      <w:fldChar w:fldCharType="separate"/>
    </w:r>
    <w:r w:rsidR="00AD07C1">
      <w:rPr>
        <w:noProof/>
        <w:szCs w:val="18"/>
        <w14:ligatures w14:val="standard"/>
        <w14:numForm w14:val="oldStyle"/>
      </w:rPr>
      <w:t>7</w:t>
    </w:r>
    <w:r w:rsidR="00AD07C1">
      <w:rPr>
        <w:szCs w:val="18"/>
        <w14:ligatures w14:val="standard"/>
        <w14:numForm w14:val="oldStyle"/>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06298F"/>
    <w:multiLevelType w:val="hybridMultilevel"/>
    <w:tmpl w:val="129A057E"/>
    <w:lvl w:ilvl="0" w:tplc="04090001">
      <w:start w:val="1"/>
      <w:numFmt w:val="bullet"/>
      <w:lvlText w:val=""/>
      <w:lvlJc w:val="left"/>
      <w:pPr>
        <w:ind w:left="950" w:hanging="360"/>
      </w:pPr>
      <w:rPr>
        <w:rFonts w:ascii="Symbol" w:hAnsi="Symbol" w:hint="default"/>
      </w:rPr>
    </w:lvl>
    <w:lvl w:ilvl="1" w:tplc="04090003" w:tentative="1">
      <w:start w:val="1"/>
      <w:numFmt w:val="bullet"/>
      <w:lvlText w:val="o"/>
      <w:lvlJc w:val="left"/>
      <w:pPr>
        <w:ind w:left="1670" w:hanging="360"/>
      </w:pPr>
      <w:rPr>
        <w:rFonts w:ascii="Courier New" w:hAnsi="Courier New" w:cs="Courier New" w:hint="default"/>
      </w:rPr>
    </w:lvl>
    <w:lvl w:ilvl="2" w:tplc="04090005" w:tentative="1">
      <w:start w:val="1"/>
      <w:numFmt w:val="bullet"/>
      <w:lvlText w:val=""/>
      <w:lvlJc w:val="left"/>
      <w:pPr>
        <w:ind w:left="2390" w:hanging="360"/>
      </w:pPr>
      <w:rPr>
        <w:rFonts w:ascii="Wingdings" w:hAnsi="Wingdings" w:hint="default"/>
      </w:rPr>
    </w:lvl>
    <w:lvl w:ilvl="3" w:tplc="04090001" w:tentative="1">
      <w:start w:val="1"/>
      <w:numFmt w:val="bullet"/>
      <w:lvlText w:val=""/>
      <w:lvlJc w:val="left"/>
      <w:pPr>
        <w:ind w:left="3110" w:hanging="360"/>
      </w:pPr>
      <w:rPr>
        <w:rFonts w:ascii="Symbol" w:hAnsi="Symbol" w:hint="default"/>
      </w:rPr>
    </w:lvl>
    <w:lvl w:ilvl="4" w:tplc="04090003" w:tentative="1">
      <w:start w:val="1"/>
      <w:numFmt w:val="bullet"/>
      <w:lvlText w:val="o"/>
      <w:lvlJc w:val="left"/>
      <w:pPr>
        <w:ind w:left="3830" w:hanging="360"/>
      </w:pPr>
      <w:rPr>
        <w:rFonts w:ascii="Courier New" w:hAnsi="Courier New" w:cs="Courier New" w:hint="default"/>
      </w:rPr>
    </w:lvl>
    <w:lvl w:ilvl="5" w:tplc="04090005" w:tentative="1">
      <w:start w:val="1"/>
      <w:numFmt w:val="bullet"/>
      <w:lvlText w:val=""/>
      <w:lvlJc w:val="left"/>
      <w:pPr>
        <w:ind w:left="4550" w:hanging="360"/>
      </w:pPr>
      <w:rPr>
        <w:rFonts w:ascii="Wingdings" w:hAnsi="Wingdings" w:hint="default"/>
      </w:rPr>
    </w:lvl>
    <w:lvl w:ilvl="6" w:tplc="04090001" w:tentative="1">
      <w:start w:val="1"/>
      <w:numFmt w:val="bullet"/>
      <w:lvlText w:val=""/>
      <w:lvlJc w:val="left"/>
      <w:pPr>
        <w:ind w:left="5270" w:hanging="360"/>
      </w:pPr>
      <w:rPr>
        <w:rFonts w:ascii="Symbol" w:hAnsi="Symbol" w:hint="default"/>
      </w:rPr>
    </w:lvl>
    <w:lvl w:ilvl="7" w:tplc="04090003" w:tentative="1">
      <w:start w:val="1"/>
      <w:numFmt w:val="bullet"/>
      <w:lvlText w:val="o"/>
      <w:lvlJc w:val="left"/>
      <w:pPr>
        <w:ind w:left="5990" w:hanging="360"/>
      </w:pPr>
      <w:rPr>
        <w:rFonts w:ascii="Courier New" w:hAnsi="Courier New" w:cs="Courier New" w:hint="default"/>
      </w:rPr>
    </w:lvl>
    <w:lvl w:ilvl="8" w:tplc="04090005" w:tentative="1">
      <w:start w:val="1"/>
      <w:numFmt w:val="bullet"/>
      <w:lvlText w:val=""/>
      <w:lvlJc w:val="left"/>
      <w:pPr>
        <w:ind w:left="6710" w:hanging="360"/>
      </w:pPr>
      <w:rPr>
        <w:rFonts w:ascii="Wingdings" w:hAnsi="Wingdings" w:hint="default"/>
      </w:rPr>
    </w:lvl>
  </w:abstractNum>
  <w:abstractNum w:abstractNumId="1" w15:restartNumberingAfterBreak="0">
    <w:nsid w:val="282B20EF"/>
    <w:multiLevelType w:val="hybridMultilevel"/>
    <w:tmpl w:val="18F84462"/>
    <w:lvl w:ilvl="0" w:tplc="9B6E49FE">
      <w:start w:val="1"/>
      <w:numFmt w:val="decimal"/>
      <w:lvlText w:val="(%1)"/>
      <w:lvlJc w:val="left"/>
      <w:pPr>
        <w:ind w:left="590" w:hanging="360"/>
      </w:pPr>
      <w:rPr>
        <w:rFonts w:hint="default"/>
      </w:rPr>
    </w:lvl>
    <w:lvl w:ilvl="1" w:tplc="04090019" w:tentative="1">
      <w:start w:val="1"/>
      <w:numFmt w:val="lowerLetter"/>
      <w:lvlText w:val="%2."/>
      <w:lvlJc w:val="left"/>
      <w:pPr>
        <w:ind w:left="1310" w:hanging="360"/>
      </w:pPr>
    </w:lvl>
    <w:lvl w:ilvl="2" w:tplc="0409001B" w:tentative="1">
      <w:start w:val="1"/>
      <w:numFmt w:val="lowerRoman"/>
      <w:lvlText w:val="%3."/>
      <w:lvlJc w:val="right"/>
      <w:pPr>
        <w:ind w:left="2030" w:hanging="180"/>
      </w:pPr>
    </w:lvl>
    <w:lvl w:ilvl="3" w:tplc="0409000F" w:tentative="1">
      <w:start w:val="1"/>
      <w:numFmt w:val="decimal"/>
      <w:lvlText w:val="%4."/>
      <w:lvlJc w:val="left"/>
      <w:pPr>
        <w:ind w:left="2750" w:hanging="360"/>
      </w:pPr>
    </w:lvl>
    <w:lvl w:ilvl="4" w:tplc="04090019" w:tentative="1">
      <w:start w:val="1"/>
      <w:numFmt w:val="lowerLetter"/>
      <w:lvlText w:val="%5."/>
      <w:lvlJc w:val="left"/>
      <w:pPr>
        <w:ind w:left="3470" w:hanging="360"/>
      </w:pPr>
    </w:lvl>
    <w:lvl w:ilvl="5" w:tplc="0409001B" w:tentative="1">
      <w:start w:val="1"/>
      <w:numFmt w:val="lowerRoman"/>
      <w:lvlText w:val="%6."/>
      <w:lvlJc w:val="right"/>
      <w:pPr>
        <w:ind w:left="4190" w:hanging="180"/>
      </w:pPr>
    </w:lvl>
    <w:lvl w:ilvl="6" w:tplc="0409000F" w:tentative="1">
      <w:start w:val="1"/>
      <w:numFmt w:val="decimal"/>
      <w:lvlText w:val="%7."/>
      <w:lvlJc w:val="left"/>
      <w:pPr>
        <w:ind w:left="4910" w:hanging="360"/>
      </w:pPr>
    </w:lvl>
    <w:lvl w:ilvl="7" w:tplc="04090019" w:tentative="1">
      <w:start w:val="1"/>
      <w:numFmt w:val="lowerLetter"/>
      <w:lvlText w:val="%8."/>
      <w:lvlJc w:val="left"/>
      <w:pPr>
        <w:ind w:left="5630" w:hanging="360"/>
      </w:pPr>
    </w:lvl>
    <w:lvl w:ilvl="8" w:tplc="0409001B" w:tentative="1">
      <w:start w:val="1"/>
      <w:numFmt w:val="lowerRoman"/>
      <w:lvlText w:val="%9."/>
      <w:lvlJc w:val="right"/>
      <w:pPr>
        <w:ind w:left="6350" w:hanging="180"/>
      </w:pPr>
    </w:lvl>
  </w:abstractNum>
  <w:abstractNum w:abstractNumId="2" w15:restartNumberingAfterBreak="0">
    <w:nsid w:val="2858633C"/>
    <w:multiLevelType w:val="multilevel"/>
    <w:tmpl w:val="D1727F72"/>
    <w:lvl w:ilvl="0">
      <w:start w:val="1"/>
      <w:numFmt w:val="bullet"/>
      <w:pStyle w:val="TableBullet"/>
      <w:lvlText w:val="•"/>
      <w:lvlJc w:val="left"/>
      <w:pPr>
        <w:tabs>
          <w:tab w:val="num" w:pos="360"/>
        </w:tabs>
        <w:ind w:left="357" w:hanging="357"/>
      </w:pPr>
      <w:rPr>
        <w:rFonts w:ascii="ClassGarmnd BT" w:hAnsi="ClassGarmnd BT" w:hint="default"/>
      </w:rPr>
    </w:lvl>
    <w:lvl w:ilvl="1" w:tentative="1">
      <w:start w:val="1"/>
      <w:numFmt w:val="bullet"/>
      <w:lvlText w:val="o"/>
      <w:lvlJc w:val="left"/>
      <w:pPr>
        <w:tabs>
          <w:tab w:val="num" w:pos="1842"/>
        </w:tabs>
        <w:ind w:left="1842" w:hanging="360"/>
      </w:pPr>
      <w:rPr>
        <w:rFonts w:ascii="Courier New" w:hAnsi="Courier New" w:hint="default"/>
      </w:rPr>
    </w:lvl>
    <w:lvl w:ilvl="2" w:tentative="1">
      <w:start w:val="1"/>
      <w:numFmt w:val="bullet"/>
      <w:lvlText w:val=""/>
      <w:lvlJc w:val="left"/>
      <w:pPr>
        <w:tabs>
          <w:tab w:val="num" w:pos="2562"/>
        </w:tabs>
        <w:ind w:left="2562" w:hanging="360"/>
      </w:pPr>
      <w:rPr>
        <w:rFonts w:ascii="Wingdings" w:hAnsi="Wingdings" w:hint="default"/>
      </w:rPr>
    </w:lvl>
    <w:lvl w:ilvl="3" w:tentative="1">
      <w:start w:val="1"/>
      <w:numFmt w:val="bullet"/>
      <w:lvlText w:val=""/>
      <w:lvlJc w:val="left"/>
      <w:pPr>
        <w:tabs>
          <w:tab w:val="num" w:pos="3282"/>
        </w:tabs>
        <w:ind w:left="3282" w:hanging="360"/>
      </w:pPr>
      <w:rPr>
        <w:rFonts w:ascii="Symbol" w:hAnsi="Symbol" w:hint="default"/>
      </w:rPr>
    </w:lvl>
    <w:lvl w:ilvl="4" w:tentative="1">
      <w:start w:val="1"/>
      <w:numFmt w:val="bullet"/>
      <w:lvlText w:val="o"/>
      <w:lvlJc w:val="left"/>
      <w:pPr>
        <w:tabs>
          <w:tab w:val="num" w:pos="4002"/>
        </w:tabs>
        <w:ind w:left="4002" w:hanging="360"/>
      </w:pPr>
      <w:rPr>
        <w:rFonts w:ascii="Courier New" w:hAnsi="Courier New" w:hint="default"/>
      </w:rPr>
    </w:lvl>
    <w:lvl w:ilvl="5" w:tentative="1">
      <w:start w:val="1"/>
      <w:numFmt w:val="bullet"/>
      <w:lvlText w:val=""/>
      <w:lvlJc w:val="left"/>
      <w:pPr>
        <w:tabs>
          <w:tab w:val="num" w:pos="4722"/>
        </w:tabs>
        <w:ind w:left="4722" w:hanging="360"/>
      </w:pPr>
      <w:rPr>
        <w:rFonts w:ascii="Wingdings" w:hAnsi="Wingdings" w:hint="default"/>
      </w:rPr>
    </w:lvl>
    <w:lvl w:ilvl="6" w:tentative="1">
      <w:start w:val="1"/>
      <w:numFmt w:val="bullet"/>
      <w:lvlText w:val=""/>
      <w:lvlJc w:val="left"/>
      <w:pPr>
        <w:tabs>
          <w:tab w:val="num" w:pos="5442"/>
        </w:tabs>
        <w:ind w:left="5442" w:hanging="360"/>
      </w:pPr>
      <w:rPr>
        <w:rFonts w:ascii="Symbol" w:hAnsi="Symbol" w:hint="default"/>
      </w:rPr>
    </w:lvl>
    <w:lvl w:ilvl="7" w:tentative="1">
      <w:start w:val="1"/>
      <w:numFmt w:val="bullet"/>
      <w:lvlText w:val="o"/>
      <w:lvlJc w:val="left"/>
      <w:pPr>
        <w:tabs>
          <w:tab w:val="num" w:pos="6162"/>
        </w:tabs>
        <w:ind w:left="6162" w:hanging="360"/>
      </w:pPr>
      <w:rPr>
        <w:rFonts w:ascii="Courier New" w:hAnsi="Courier New" w:hint="default"/>
      </w:rPr>
    </w:lvl>
    <w:lvl w:ilvl="8" w:tentative="1">
      <w:start w:val="1"/>
      <w:numFmt w:val="bullet"/>
      <w:lvlText w:val=""/>
      <w:lvlJc w:val="left"/>
      <w:pPr>
        <w:tabs>
          <w:tab w:val="num" w:pos="6882"/>
        </w:tabs>
        <w:ind w:left="6882" w:hanging="360"/>
      </w:pPr>
      <w:rPr>
        <w:rFonts w:ascii="Wingdings" w:hAnsi="Wingdings" w:hint="default"/>
      </w:rPr>
    </w:lvl>
  </w:abstractNum>
  <w:abstractNum w:abstractNumId="3" w15:restartNumberingAfterBreak="0">
    <w:nsid w:val="294D36A9"/>
    <w:multiLevelType w:val="multilevel"/>
    <w:tmpl w:val="D65879B0"/>
    <w:name w:val="NumberListTemplate"/>
    <w:lvl w:ilvl="0">
      <w:start w:val="1"/>
      <w:numFmt w:val="decimal"/>
      <w:pStyle w:val="ListNumber"/>
      <w:lvlText w:val="%1."/>
      <w:lvlJc w:val="left"/>
      <w:pPr>
        <w:tabs>
          <w:tab w:val="num" w:pos="1570"/>
        </w:tabs>
        <w:ind w:left="1570" w:hanging="432"/>
      </w:pPr>
      <w:rPr>
        <w:b/>
      </w:rPr>
    </w:lvl>
    <w:lvl w:ilvl="1">
      <w:start w:val="1"/>
      <w:numFmt w:val="lowerLetter"/>
      <w:pStyle w:val="ListNumber2"/>
      <w:lvlText w:val="%2)"/>
      <w:lvlJc w:val="left"/>
      <w:pPr>
        <w:tabs>
          <w:tab w:val="num" w:pos="2002"/>
        </w:tabs>
        <w:ind w:left="2002" w:hanging="432"/>
      </w:pPr>
      <w:rPr>
        <w:b/>
      </w:rPr>
    </w:lvl>
    <w:lvl w:ilvl="2">
      <w:start w:val="1"/>
      <w:numFmt w:val="lowerRoman"/>
      <w:pStyle w:val="ListNumber3"/>
      <w:lvlText w:val="%3)"/>
      <w:lvlJc w:val="left"/>
      <w:pPr>
        <w:tabs>
          <w:tab w:val="num" w:pos="2434"/>
        </w:tabs>
        <w:ind w:left="2434" w:hanging="432"/>
      </w:pPr>
      <w:rPr>
        <w:b/>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31D1626A"/>
    <w:multiLevelType w:val="hybridMultilevel"/>
    <w:tmpl w:val="45320058"/>
    <w:lvl w:ilvl="0" w:tplc="C8B2D044">
      <w:start w:val="1"/>
      <w:numFmt w:val="decimal"/>
      <w:lvlText w:val="(%1)"/>
      <w:lvlJc w:val="left"/>
      <w:pPr>
        <w:ind w:left="590" w:hanging="360"/>
      </w:pPr>
      <w:rPr>
        <w:rFonts w:hint="default"/>
      </w:rPr>
    </w:lvl>
    <w:lvl w:ilvl="1" w:tplc="04090019" w:tentative="1">
      <w:start w:val="1"/>
      <w:numFmt w:val="lowerLetter"/>
      <w:lvlText w:val="%2."/>
      <w:lvlJc w:val="left"/>
      <w:pPr>
        <w:ind w:left="1310" w:hanging="360"/>
      </w:pPr>
    </w:lvl>
    <w:lvl w:ilvl="2" w:tplc="0409001B" w:tentative="1">
      <w:start w:val="1"/>
      <w:numFmt w:val="lowerRoman"/>
      <w:lvlText w:val="%3."/>
      <w:lvlJc w:val="right"/>
      <w:pPr>
        <w:ind w:left="2030" w:hanging="180"/>
      </w:pPr>
    </w:lvl>
    <w:lvl w:ilvl="3" w:tplc="0409000F" w:tentative="1">
      <w:start w:val="1"/>
      <w:numFmt w:val="decimal"/>
      <w:lvlText w:val="%4."/>
      <w:lvlJc w:val="left"/>
      <w:pPr>
        <w:ind w:left="2750" w:hanging="360"/>
      </w:pPr>
    </w:lvl>
    <w:lvl w:ilvl="4" w:tplc="04090019" w:tentative="1">
      <w:start w:val="1"/>
      <w:numFmt w:val="lowerLetter"/>
      <w:lvlText w:val="%5."/>
      <w:lvlJc w:val="left"/>
      <w:pPr>
        <w:ind w:left="3470" w:hanging="360"/>
      </w:pPr>
    </w:lvl>
    <w:lvl w:ilvl="5" w:tplc="0409001B" w:tentative="1">
      <w:start w:val="1"/>
      <w:numFmt w:val="lowerRoman"/>
      <w:lvlText w:val="%6."/>
      <w:lvlJc w:val="right"/>
      <w:pPr>
        <w:ind w:left="4190" w:hanging="180"/>
      </w:pPr>
    </w:lvl>
    <w:lvl w:ilvl="6" w:tplc="0409000F" w:tentative="1">
      <w:start w:val="1"/>
      <w:numFmt w:val="decimal"/>
      <w:lvlText w:val="%7."/>
      <w:lvlJc w:val="left"/>
      <w:pPr>
        <w:ind w:left="4910" w:hanging="360"/>
      </w:pPr>
    </w:lvl>
    <w:lvl w:ilvl="7" w:tplc="04090019" w:tentative="1">
      <w:start w:val="1"/>
      <w:numFmt w:val="lowerLetter"/>
      <w:lvlText w:val="%8."/>
      <w:lvlJc w:val="left"/>
      <w:pPr>
        <w:ind w:left="5630" w:hanging="360"/>
      </w:pPr>
    </w:lvl>
    <w:lvl w:ilvl="8" w:tplc="0409001B" w:tentative="1">
      <w:start w:val="1"/>
      <w:numFmt w:val="lowerRoman"/>
      <w:lvlText w:val="%9."/>
      <w:lvlJc w:val="right"/>
      <w:pPr>
        <w:ind w:left="6350" w:hanging="180"/>
      </w:pPr>
    </w:lvl>
  </w:abstractNum>
  <w:abstractNum w:abstractNumId="5" w15:restartNumberingAfterBreak="0">
    <w:nsid w:val="4A124B74"/>
    <w:multiLevelType w:val="hybridMultilevel"/>
    <w:tmpl w:val="6672BB72"/>
    <w:lvl w:ilvl="0" w:tplc="512A5174">
      <w:start w:val="1"/>
      <w:numFmt w:val="decimal"/>
      <w:lvlText w:val="(%1)"/>
      <w:lvlJc w:val="left"/>
      <w:pPr>
        <w:ind w:left="590" w:hanging="360"/>
      </w:pPr>
      <w:rPr>
        <w:rFonts w:hint="default"/>
      </w:rPr>
    </w:lvl>
    <w:lvl w:ilvl="1" w:tplc="04090019" w:tentative="1">
      <w:start w:val="1"/>
      <w:numFmt w:val="lowerLetter"/>
      <w:lvlText w:val="%2."/>
      <w:lvlJc w:val="left"/>
      <w:pPr>
        <w:ind w:left="1310" w:hanging="360"/>
      </w:pPr>
    </w:lvl>
    <w:lvl w:ilvl="2" w:tplc="0409001B" w:tentative="1">
      <w:start w:val="1"/>
      <w:numFmt w:val="lowerRoman"/>
      <w:lvlText w:val="%3."/>
      <w:lvlJc w:val="right"/>
      <w:pPr>
        <w:ind w:left="2030" w:hanging="180"/>
      </w:pPr>
    </w:lvl>
    <w:lvl w:ilvl="3" w:tplc="0409000F" w:tentative="1">
      <w:start w:val="1"/>
      <w:numFmt w:val="decimal"/>
      <w:lvlText w:val="%4."/>
      <w:lvlJc w:val="left"/>
      <w:pPr>
        <w:ind w:left="2750" w:hanging="360"/>
      </w:pPr>
    </w:lvl>
    <w:lvl w:ilvl="4" w:tplc="04090019" w:tentative="1">
      <w:start w:val="1"/>
      <w:numFmt w:val="lowerLetter"/>
      <w:lvlText w:val="%5."/>
      <w:lvlJc w:val="left"/>
      <w:pPr>
        <w:ind w:left="3470" w:hanging="360"/>
      </w:pPr>
    </w:lvl>
    <w:lvl w:ilvl="5" w:tplc="0409001B" w:tentative="1">
      <w:start w:val="1"/>
      <w:numFmt w:val="lowerRoman"/>
      <w:lvlText w:val="%6."/>
      <w:lvlJc w:val="right"/>
      <w:pPr>
        <w:ind w:left="4190" w:hanging="180"/>
      </w:pPr>
    </w:lvl>
    <w:lvl w:ilvl="6" w:tplc="0409000F" w:tentative="1">
      <w:start w:val="1"/>
      <w:numFmt w:val="decimal"/>
      <w:lvlText w:val="%7."/>
      <w:lvlJc w:val="left"/>
      <w:pPr>
        <w:ind w:left="4910" w:hanging="360"/>
      </w:pPr>
    </w:lvl>
    <w:lvl w:ilvl="7" w:tplc="04090019" w:tentative="1">
      <w:start w:val="1"/>
      <w:numFmt w:val="lowerLetter"/>
      <w:lvlText w:val="%8."/>
      <w:lvlJc w:val="left"/>
      <w:pPr>
        <w:ind w:left="5630" w:hanging="360"/>
      </w:pPr>
    </w:lvl>
    <w:lvl w:ilvl="8" w:tplc="0409001B" w:tentative="1">
      <w:start w:val="1"/>
      <w:numFmt w:val="lowerRoman"/>
      <w:lvlText w:val="%9."/>
      <w:lvlJc w:val="right"/>
      <w:pPr>
        <w:ind w:left="6350" w:hanging="180"/>
      </w:pPr>
    </w:lvl>
  </w:abstractNum>
  <w:abstractNum w:abstractNumId="6" w15:restartNumberingAfterBreak="0">
    <w:nsid w:val="57A51398"/>
    <w:multiLevelType w:val="hybridMultilevel"/>
    <w:tmpl w:val="B8BC7668"/>
    <w:lvl w:ilvl="0" w:tplc="0409000F">
      <w:start w:val="1"/>
      <w:numFmt w:val="decimal"/>
      <w:lvlText w:val="%1."/>
      <w:lvlJc w:val="left"/>
      <w:pPr>
        <w:ind w:left="950" w:hanging="360"/>
      </w:pPr>
    </w:lvl>
    <w:lvl w:ilvl="1" w:tplc="04090019" w:tentative="1">
      <w:start w:val="1"/>
      <w:numFmt w:val="lowerLetter"/>
      <w:lvlText w:val="%2."/>
      <w:lvlJc w:val="left"/>
      <w:pPr>
        <w:ind w:left="1670" w:hanging="360"/>
      </w:pPr>
    </w:lvl>
    <w:lvl w:ilvl="2" w:tplc="0409001B" w:tentative="1">
      <w:start w:val="1"/>
      <w:numFmt w:val="lowerRoman"/>
      <w:lvlText w:val="%3."/>
      <w:lvlJc w:val="right"/>
      <w:pPr>
        <w:ind w:left="2390" w:hanging="180"/>
      </w:pPr>
    </w:lvl>
    <w:lvl w:ilvl="3" w:tplc="0409000F" w:tentative="1">
      <w:start w:val="1"/>
      <w:numFmt w:val="decimal"/>
      <w:lvlText w:val="%4."/>
      <w:lvlJc w:val="left"/>
      <w:pPr>
        <w:ind w:left="3110" w:hanging="360"/>
      </w:pPr>
    </w:lvl>
    <w:lvl w:ilvl="4" w:tplc="04090019" w:tentative="1">
      <w:start w:val="1"/>
      <w:numFmt w:val="lowerLetter"/>
      <w:lvlText w:val="%5."/>
      <w:lvlJc w:val="left"/>
      <w:pPr>
        <w:ind w:left="3830" w:hanging="360"/>
      </w:pPr>
    </w:lvl>
    <w:lvl w:ilvl="5" w:tplc="0409001B" w:tentative="1">
      <w:start w:val="1"/>
      <w:numFmt w:val="lowerRoman"/>
      <w:lvlText w:val="%6."/>
      <w:lvlJc w:val="right"/>
      <w:pPr>
        <w:ind w:left="4550" w:hanging="180"/>
      </w:pPr>
    </w:lvl>
    <w:lvl w:ilvl="6" w:tplc="0409000F" w:tentative="1">
      <w:start w:val="1"/>
      <w:numFmt w:val="decimal"/>
      <w:lvlText w:val="%7."/>
      <w:lvlJc w:val="left"/>
      <w:pPr>
        <w:ind w:left="5270" w:hanging="360"/>
      </w:pPr>
    </w:lvl>
    <w:lvl w:ilvl="7" w:tplc="04090019" w:tentative="1">
      <w:start w:val="1"/>
      <w:numFmt w:val="lowerLetter"/>
      <w:lvlText w:val="%8."/>
      <w:lvlJc w:val="left"/>
      <w:pPr>
        <w:ind w:left="5990" w:hanging="360"/>
      </w:pPr>
    </w:lvl>
    <w:lvl w:ilvl="8" w:tplc="0409001B" w:tentative="1">
      <w:start w:val="1"/>
      <w:numFmt w:val="lowerRoman"/>
      <w:lvlText w:val="%9."/>
      <w:lvlJc w:val="right"/>
      <w:pPr>
        <w:ind w:left="6710" w:hanging="180"/>
      </w:pPr>
    </w:lvl>
  </w:abstractNum>
  <w:abstractNum w:abstractNumId="7" w15:restartNumberingAfterBreak="0">
    <w:nsid w:val="612106E7"/>
    <w:multiLevelType w:val="multilevel"/>
    <w:tmpl w:val="686C8EA0"/>
    <w:name w:val="BulletListTemplate"/>
    <w:lvl w:ilvl="0">
      <w:start w:val="1"/>
      <w:numFmt w:val="bullet"/>
      <w:pStyle w:val="ListBullet"/>
      <w:lvlText w:val=""/>
      <w:lvlJc w:val="left"/>
      <w:pPr>
        <w:tabs>
          <w:tab w:val="num" w:pos="1498"/>
        </w:tabs>
        <w:ind w:left="1498" w:hanging="360"/>
      </w:pPr>
      <w:rPr>
        <w:rFonts w:ascii="Symbol" w:hAnsi="Symbol"/>
        <w:sz w:val="24"/>
      </w:rPr>
    </w:lvl>
    <w:lvl w:ilvl="1">
      <w:start w:val="1"/>
      <w:numFmt w:val="bullet"/>
      <w:lvlRestart w:val="0"/>
      <w:pStyle w:val="ListBullet2"/>
      <w:lvlText w:val=""/>
      <w:lvlJc w:val="left"/>
      <w:pPr>
        <w:tabs>
          <w:tab w:val="num" w:pos="1930"/>
        </w:tabs>
        <w:ind w:left="1930" w:hanging="432"/>
      </w:pPr>
      <w:rPr>
        <w:rFonts w:ascii="Symbol" w:hAnsi="Symbol"/>
        <w:sz w:val="20"/>
      </w:rPr>
    </w:lvl>
    <w:lvl w:ilvl="2">
      <w:start w:val="1"/>
      <w:numFmt w:val="bullet"/>
      <w:pStyle w:val="ListBullet3"/>
      <w:lvlText w:val=""/>
      <w:lvlJc w:val="left"/>
      <w:pPr>
        <w:tabs>
          <w:tab w:val="num" w:pos="2160"/>
        </w:tabs>
        <w:ind w:left="2160" w:hanging="360"/>
      </w:pPr>
      <w:rPr>
        <w:rFonts w:ascii="Wingdings" w:hAnsi="Wingdings"/>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63DF3363"/>
    <w:multiLevelType w:val="hybridMultilevel"/>
    <w:tmpl w:val="3BACC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C664B73"/>
    <w:multiLevelType w:val="hybridMultilevel"/>
    <w:tmpl w:val="D56061CC"/>
    <w:lvl w:ilvl="0" w:tplc="89341CEC">
      <w:start w:val="1"/>
      <w:numFmt w:val="decimal"/>
      <w:lvlText w:val="(%1)"/>
      <w:lvlJc w:val="left"/>
      <w:pPr>
        <w:ind w:left="722" w:hanging="492"/>
      </w:pPr>
      <w:rPr>
        <w:rFonts w:hint="default"/>
      </w:rPr>
    </w:lvl>
    <w:lvl w:ilvl="1" w:tplc="04090019" w:tentative="1">
      <w:start w:val="1"/>
      <w:numFmt w:val="lowerLetter"/>
      <w:lvlText w:val="%2."/>
      <w:lvlJc w:val="left"/>
      <w:pPr>
        <w:ind w:left="1310" w:hanging="360"/>
      </w:pPr>
    </w:lvl>
    <w:lvl w:ilvl="2" w:tplc="0409001B" w:tentative="1">
      <w:start w:val="1"/>
      <w:numFmt w:val="lowerRoman"/>
      <w:lvlText w:val="%3."/>
      <w:lvlJc w:val="right"/>
      <w:pPr>
        <w:ind w:left="2030" w:hanging="180"/>
      </w:pPr>
    </w:lvl>
    <w:lvl w:ilvl="3" w:tplc="0409000F" w:tentative="1">
      <w:start w:val="1"/>
      <w:numFmt w:val="decimal"/>
      <w:lvlText w:val="%4."/>
      <w:lvlJc w:val="left"/>
      <w:pPr>
        <w:ind w:left="2750" w:hanging="360"/>
      </w:pPr>
    </w:lvl>
    <w:lvl w:ilvl="4" w:tplc="04090019" w:tentative="1">
      <w:start w:val="1"/>
      <w:numFmt w:val="lowerLetter"/>
      <w:lvlText w:val="%5."/>
      <w:lvlJc w:val="left"/>
      <w:pPr>
        <w:ind w:left="3470" w:hanging="360"/>
      </w:pPr>
    </w:lvl>
    <w:lvl w:ilvl="5" w:tplc="0409001B" w:tentative="1">
      <w:start w:val="1"/>
      <w:numFmt w:val="lowerRoman"/>
      <w:lvlText w:val="%6."/>
      <w:lvlJc w:val="right"/>
      <w:pPr>
        <w:ind w:left="4190" w:hanging="180"/>
      </w:pPr>
    </w:lvl>
    <w:lvl w:ilvl="6" w:tplc="0409000F" w:tentative="1">
      <w:start w:val="1"/>
      <w:numFmt w:val="decimal"/>
      <w:lvlText w:val="%7."/>
      <w:lvlJc w:val="left"/>
      <w:pPr>
        <w:ind w:left="4910" w:hanging="360"/>
      </w:pPr>
    </w:lvl>
    <w:lvl w:ilvl="7" w:tplc="04090019" w:tentative="1">
      <w:start w:val="1"/>
      <w:numFmt w:val="lowerLetter"/>
      <w:lvlText w:val="%8."/>
      <w:lvlJc w:val="left"/>
      <w:pPr>
        <w:ind w:left="5630" w:hanging="360"/>
      </w:pPr>
    </w:lvl>
    <w:lvl w:ilvl="8" w:tplc="0409001B" w:tentative="1">
      <w:start w:val="1"/>
      <w:numFmt w:val="lowerRoman"/>
      <w:lvlText w:val="%9."/>
      <w:lvlJc w:val="right"/>
      <w:pPr>
        <w:ind w:left="6350" w:hanging="180"/>
      </w:pPr>
    </w:lvl>
  </w:abstractNum>
  <w:abstractNum w:abstractNumId="10" w15:restartNumberingAfterBreak="0">
    <w:nsid w:val="70040FBD"/>
    <w:multiLevelType w:val="hybridMultilevel"/>
    <w:tmpl w:val="644C37DC"/>
    <w:lvl w:ilvl="0" w:tplc="04090001">
      <w:start w:val="1"/>
      <w:numFmt w:val="bullet"/>
      <w:lvlText w:val=""/>
      <w:lvlJc w:val="left"/>
      <w:pPr>
        <w:ind w:left="950" w:hanging="360"/>
      </w:pPr>
      <w:rPr>
        <w:rFonts w:ascii="Symbol" w:hAnsi="Symbol" w:hint="default"/>
      </w:rPr>
    </w:lvl>
    <w:lvl w:ilvl="1" w:tplc="04090003" w:tentative="1">
      <w:start w:val="1"/>
      <w:numFmt w:val="bullet"/>
      <w:lvlText w:val="o"/>
      <w:lvlJc w:val="left"/>
      <w:pPr>
        <w:ind w:left="1670" w:hanging="360"/>
      </w:pPr>
      <w:rPr>
        <w:rFonts w:ascii="Courier New" w:hAnsi="Courier New" w:cs="Courier New" w:hint="default"/>
      </w:rPr>
    </w:lvl>
    <w:lvl w:ilvl="2" w:tplc="04090005" w:tentative="1">
      <w:start w:val="1"/>
      <w:numFmt w:val="bullet"/>
      <w:lvlText w:val=""/>
      <w:lvlJc w:val="left"/>
      <w:pPr>
        <w:ind w:left="2390" w:hanging="360"/>
      </w:pPr>
      <w:rPr>
        <w:rFonts w:ascii="Wingdings" w:hAnsi="Wingdings" w:hint="default"/>
      </w:rPr>
    </w:lvl>
    <w:lvl w:ilvl="3" w:tplc="04090001" w:tentative="1">
      <w:start w:val="1"/>
      <w:numFmt w:val="bullet"/>
      <w:lvlText w:val=""/>
      <w:lvlJc w:val="left"/>
      <w:pPr>
        <w:ind w:left="3110" w:hanging="360"/>
      </w:pPr>
      <w:rPr>
        <w:rFonts w:ascii="Symbol" w:hAnsi="Symbol" w:hint="default"/>
      </w:rPr>
    </w:lvl>
    <w:lvl w:ilvl="4" w:tplc="04090003" w:tentative="1">
      <w:start w:val="1"/>
      <w:numFmt w:val="bullet"/>
      <w:lvlText w:val="o"/>
      <w:lvlJc w:val="left"/>
      <w:pPr>
        <w:ind w:left="3830" w:hanging="360"/>
      </w:pPr>
      <w:rPr>
        <w:rFonts w:ascii="Courier New" w:hAnsi="Courier New" w:cs="Courier New" w:hint="default"/>
      </w:rPr>
    </w:lvl>
    <w:lvl w:ilvl="5" w:tplc="04090005" w:tentative="1">
      <w:start w:val="1"/>
      <w:numFmt w:val="bullet"/>
      <w:lvlText w:val=""/>
      <w:lvlJc w:val="left"/>
      <w:pPr>
        <w:ind w:left="4550" w:hanging="360"/>
      </w:pPr>
      <w:rPr>
        <w:rFonts w:ascii="Wingdings" w:hAnsi="Wingdings" w:hint="default"/>
      </w:rPr>
    </w:lvl>
    <w:lvl w:ilvl="6" w:tplc="04090001" w:tentative="1">
      <w:start w:val="1"/>
      <w:numFmt w:val="bullet"/>
      <w:lvlText w:val=""/>
      <w:lvlJc w:val="left"/>
      <w:pPr>
        <w:ind w:left="5270" w:hanging="360"/>
      </w:pPr>
      <w:rPr>
        <w:rFonts w:ascii="Symbol" w:hAnsi="Symbol" w:hint="default"/>
      </w:rPr>
    </w:lvl>
    <w:lvl w:ilvl="7" w:tplc="04090003" w:tentative="1">
      <w:start w:val="1"/>
      <w:numFmt w:val="bullet"/>
      <w:lvlText w:val="o"/>
      <w:lvlJc w:val="left"/>
      <w:pPr>
        <w:ind w:left="5990" w:hanging="360"/>
      </w:pPr>
      <w:rPr>
        <w:rFonts w:ascii="Courier New" w:hAnsi="Courier New" w:cs="Courier New" w:hint="default"/>
      </w:rPr>
    </w:lvl>
    <w:lvl w:ilvl="8" w:tplc="04090005" w:tentative="1">
      <w:start w:val="1"/>
      <w:numFmt w:val="bullet"/>
      <w:lvlText w:val=""/>
      <w:lvlJc w:val="left"/>
      <w:pPr>
        <w:ind w:left="6710" w:hanging="360"/>
      </w:pPr>
      <w:rPr>
        <w:rFonts w:ascii="Wingdings" w:hAnsi="Wingdings" w:hint="default"/>
      </w:rPr>
    </w:lvl>
  </w:abstractNum>
  <w:abstractNum w:abstractNumId="11" w15:restartNumberingAfterBreak="0">
    <w:nsid w:val="7470421D"/>
    <w:multiLevelType w:val="hybridMultilevel"/>
    <w:tmpl w:val="041CF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FF50FA"/>
    <w:multiLevelType w:val="hybridMultilevel"/>
    <w:tmpl w:val="855237BA"/>
    <w:lvl w:ilvl="0" w:tplc="C986AEF6">
      <w:start w:val="1"/>
      <w:numFmt w:val="decimal"/>
      <w:lvlText w:val="(%1)"/>
      <w:lvlJc w:val="left"/>
      <w:pPr>
        <w:ind w:left="722" w:hanging="492"/>
      </w:pPr>
      <w:rPr>
        <w:rFonts w:hint="default"/>
      </w:rPr>
    </w:lvl>
    <w:lvl w:ilvl="1" w:tplc="04090019" w:tentative="1">
      <w:start w:val="1"/>
      <w:numFmt w:val="lowerLetter"/>
      <w:lvlText w:val="%2."/>
      <w:lvlJc w:val="left"/>
      <w:pPr>
        <w:ind w:left="1310" w:hanging="360"/>
      </w:pPr>
    </w:lvl>
    <w:lvl w:ilvl="2" w:tplc="0409001B" w:tentative="1">
      <w:start w:val="1"/>
      <w:numFmt w:val="lowerRoman"/>
      <w:lvlText w:val="%3."/>
      <w:lvlJc w:val="right"/>
      <w:pPr>
        <w:ind w:left="2030" w:hanging="180"/>
      </w:pPr>
    </w:lvl>
    <w:lvl w:ilvl="3" w:tplc="0409000F" w:tentative="1">
      <w:start w:val="1"/>
      <w:numFmt w:val="decimal"/>
      <w:lvlText w:val="%4."/>
      <w:lvlJc w:val="left"/>
      <w:pPr>
        <w:ind w:left="2750" w:hanging="360"/>
      </w:pPr>
    </w:lvl>
    <w:lvl w:ilvl="4" w:tplc="04090019" w:tentative="1">
      <w:start w:val="1"/>
      <w:numFmt w:val="lowerLetter"/>
      <w:lvlText w:val="%5."/>
      <w:lvlJc w:val="left"/>
      <w:pPr>
        <w:ind w:left="3470" w:hanging="360"/>
      </w:pPr>
    </w:lvl>
    <w:lvl w:ilvl="5" w:tplc="0409001B" w:tentative="1">
      <w:start w:val="1"/>
      <w:numFmt w:val="lowerRoman"/>
      <w:lvlText w:val="%6."/>
      <w:lvlJc w:val="right"/>
      <w:pPr>
        <w:ind w:left="4190" w:hanging="180"/>
      </w:pPr>
    </w:lvl>
    <w:lvl w:ilvl="6" w:tplc="0409000F" w:tentative="1">
      <w:start w:val="1"/>
      <w:numFmt w:val="decimal"/>
      <w:lvlText w:val="%7."/>
      <w:lvlJc w:val="left"/>
      <w:pPr>
        <w:ind w:left="4910" w:hanging="360"/>
      </w:pPr>
    </w:lvl>
    <w:lvl w:ilvl="7" w:tplc="04090019" w:tentative="1">
      <w:start w:val="1"/>
      <w:numFmt w:val="lowerLetter"/>
      <w:lvlText w:val="%8."/>
      <w:lvlJc w:val="left"/>
      <w:pPr>
        <w:ind w:left="5630" w:hanging="360"/>
      </w:pPr>
    </w:lvl>
    <w:lvl w:ilvl="8" w:tplc="0409001B" w:tentative="1">
      <w:start w:val="1"/>
      <w:numFmt w:val="lowerRoman"/>
      <w:lvlText w:val="%9."/>
      <w:lvlJc w:val="right"/>
      <w:pPr>
        <w:ind w:left="6350" w:hanging="180"/>
      </w:pPr>
    </w:lvl>
  </w:abstractNum>
  <w:num w:numId="1" w16cid:durableId="1890804892">
    <w:abstractNumId w:val="2"/>
  </w:num>
  <w:num w:numId="2" w16cid:durableId="1566910974">
    <w:abstractNumId w:val="7"/>
  </w:num>
  <w:num w:numId="3" w16cid:durableId="1890923010">
    <w:abstractNumId w:val="3"/>
  </w:num>
  <w:num w:numId="4" w16cid:durableId="782576093">
    <w:abstractNumId w:val="8"/>
  </w:num>
  <w:num w:numId="5" w16cid:durableId="1919484713">
    <w:abstractNumId w:val="5"/>
  </w:num>
  <w:num w:numId="6" w16cid:durableId="2039697239">
    <w:abstractNumId w:val="6"/>
  </w:num>
  <w:num w:numId="7" w16cid:durableId="888684099">
    <w:abstractNumId w:val="4"/>
  </w:num>
  <w:num w:numId="8" w16cid:durableId="1650862758">
    <w:abstractNumId w:val="1"/>
  </w:num>
  <w:num w:numId="9" w16cid:durableId="1818456574">
    <w:abstractNumId w:val="12"/>
  </w:num>
  <w:num w:numId="10" w16cid:durableId="321005561">
    <w:abstractNumId w:val="9"/>
  </w:num>
  <w:num w:numId="11" w16cid:durableId="630332360">
    <w:abstractNumId w:val="0"/>
  </w:num>
  <w:num w:numId="12" w16cid:durableId="135489323">
    <w:abstractNumId w:val="10"/>
  </w:num>
  <w:num w:numId="13" w16cid:durableId="592781308">
    <w:abstractNumId w:val="1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TrueTypeFonts/>
  <w:embedSystemFonts/>
  <w:saveSubsetFonts/>
  <w:mirrorMargins/>
  <w:hideSpellingErrors/>
  <w:attachedTemplate r:id="rId1"/>
  <w:stylePaneFormatFilter w:val="3808" w:allStyles="0" w:customStyles="0" w:latentStyles="0" w:stylesInUse="1" w:headingStyles="0" w:numberingStyles="0" w:tableStyles="0" w:directFormattingOnRuns="0" w:directFormattingOnParagraphs="0" w:directFormattingOnNumbering="0" w:directFormattingOnTables="1" w:clearFormatting="1" w:top3HeadingStyles="1" w:visibleStyles="0" w:alternateStyleNames="0"/>
  <w:stylePaneSortMethod w:val="0000"/>
  <w:defaultTabStop w:val="720"/>
  <w:evenAndOddHeaders/>
  <w:drawingGridHorizontalSpacing w:val="120"/>
  <w:displayHorizontalDrawingGridEvery w:val="2"/>
  <w:displayVerticalDrawingGridEvery w:val="2"/>
  <w:noPunctuationKerning/>
  <w:characterSpacingControl w:val="doNotCompress"/>
  <w:hdrShapeDefaults>
    <o:shapedefaults v:ext="edit" spidmax="2050"/>
  </w:hdrShapeDefaults>
  <w:footnotePr>
    <w:numRestart w:val="eachSect"/>
    <w:footnote w:id="-1"/>
    <w:footnote w:id="0"/>
  </w:footnotePr>
  <w:endnotePr>
    <w:endnote w:id="-1"/>
    <w:endnote w:id="0"/>
  </w:endnotePr>
  <w:compat>
    <w:noExtraLine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7669"/>
    <w:rsid w:val="000020A3"/>
    <w:rsid w:val="00002251"/>
    <w:rsid w:val="0000386C"/>
    <w:rsid w:val="00003C74"/>
    <w:rsid w:val="0000486D"/>
    <w:rsid w:val="00004A07"/>
    <w:rsid w:val="000057EC"/>
    <w:rsid w:val="000065A4"/>
    <w:rsid w:val="00006DC3"/>
    <w:rsid w:val="000101F1"/>
    <w:rsid w:val="0001036F"/>
    <w:rsid w:val="0001062C"/>
    <w:rsid w:val="000110C8"/>
    <w:rsid w:val="000114F3"/>
    <w:rsid w:val="00011952"/>
    <w:rsid w:val="00011D76"/>
    <w:rsid w:val="00011E55"/>
    <w:rsid w:val="00012198"/>
    <w:rsid w:val="00013F58"/>
    <w:rsid w:val="00014544"/>
    <w:rsid w:val="0001520F"/>
    <w:rsid w:val="00015772"/>
    <w:rsid w:val="00015B5A"/>
    <w:rsid w:val="00016FD6"/>
    <w:rsid w:val="00021A53"/>
    <w:rsid w:val="00022B0C"/>
    <w:rsid w:val="00022D04"/>
    <w:rsid w:val="00023AD7"/>
    <w:rsid w:val="0002424B"/>
    <w:rsid w:val="000247B7"/>
    <w:rsid w:val="00025697"/>
    <w:rsid w:val="00025E9A"/>
    <w:rsid w:val="00026953"/>
    <w:rsid w:val="00026C29"/>
    <w:rsid w:val="00027C48"/>
    <w:rsid w:val="00030AA5"/>
    <w:rsid w:val="00030CA6"/>
    <w:rsid w:val="0003264A"/>
    <w:rsid w:val="00034853"/>
    <w:rsid w:val="00034ADB"/>
    <w:rsid w:val="000356BE"/>
    <w:rsid w:val="00035C21"/>
    <w:rsid w:val="00036098"/>
    <w:rsid w:val="000365A4"/>
    <w:rsid w:val="00040B25"/>
    <w:rsid w:val="00040D3D"/>
    <w:rsid w:val="000432EF"/>
    <w:rsid w:val="000437F1"/>
    <w:rsid w:val="00047441"/>
    <w:rsid w:val="00047D5D"/>
    <w:rsid w:val="000501DD"/>
    <w:rsid w:val="0005109C"/>
    <w:rsid w:val="00053137"/>
    <w:rsid w:val="00054676"/>
    <w:rsid w:val="00055B5F"/>
    <w:rsid w:val="00055C6F"/>
    <w:rsid w:val="00055CD4"/>
    <w:rsid w:val="00057AC3"/>
    <w:rsid w:val="00060EA2"/>
    <w:rsid w:val="000635A3"/>
    <w:rsid w:val="00063F8E"/>
    <w:rsid w:val="00065384"/>
    <w:rsid w:val="00066167"/>
    <w:rsid w:val="00070771"/>
    <w:rsid w:val="000728F3"/>
    <w:rsid w:val="00076DAB"/>
    <w:rsid w:val="00081F0A"/>
    <w:rsid w:val="000850D0"/>
    <w:rsid w:val="00085DCD"/>
    <w:rsid w:val="0008666B"/>
    <w:rsid w:val="00086763"/>
    <w:rsid w:val="000869FA"/>
    <w:rsid w:val="000875F6"/>
    <w:rsid w:val="00090694"/>
    <w:rsid w:val="000924DC"/>
    <w:rsid w:val="00092DF5"/>
    <w:rsid w:val="0009574A"/>
    <w:rsid w:val="00095B25"/>
    <w:rsid w:val="00096062"/>
    <w:rsid w:val="00097B36"/>
    <w:rsid w:val="000A0106"/>
    <w:rsid w:val="000A05D8"/>
    <w:rsid w:val="000A1BD0"/>
    <w:rsid w:val="000A2181"/>
    <w:rsid w:val="000A2627"/>
    <w:rsid w:val="000A498A"/>
    <w:rsid w:val="000A49B1"/>
    <w:rsid w:val="000A5014"/>
    <w:rsid w:val="000A533B"/>
    <w:rsid w:val="000A60BA"/>
    <w:rsid w:val="000A6B2E"/>
    <w:rsid w:val="000A7EB0"/>
    <w:rsid w:val="000B071B"/>
    <w:rsid w:val="000B11CE"/>
    <w:rsid w:val="000B15A9"/>
    <w:rsid w:val="000B1BA2"/>
    <w:rsid w:val="000B1D18"/>
    <w:rsid w:val="000B2785"/>
    <w:rsid w:val="000B2ECC"/>
    <w:rsid w:val="000B3B9C"/>
    <w:rsid w:val="000B4CD7"/>
    <w:rsid w:val="000B4D4F"/>
    <w:rsid w:val="000B5974"/>
    <w:rsid w:val="000B73DD"/>
    <w:rsid w:val="000C08E9"/>
    <w:rsid w:val="000C2613"/>
    <w:rsid w:val="000C2647"/>
    <w:rsid w:val="000C4ED6"/>
    <w:rsid w:val="000C52C2"/>
    <w:rsid w:val="000C7994"/>
    <w:rsid w:val="000C7BB1"/>
    <w:rsid w:val="000D21D4"/>
    <w:rsid w:val="000D3145"/>
    <w:rsid w:val="000D4F21"/>
    <w:rsid w:val="000D5074"/>
    <w:rsid w:val="000D5ED4"/>
    <w:rsid w:val="000D6D18"/>
    <w:rsid w:val="000D78C5"/>
    <w:rsid w:val="000D7B38"/>
    <w:rsid w:val="000E2673"/>
    <w:rsid w:val="000E7288"/>
    <w:rsid w:val="000E7691"/>
    <w:rsid w:val="000F15F0"/>
    <w:rsid w:val="000F2630"/>
    <w:rsid w:val="000F2AB0"/>
    <w:rsid w:val="000F524A"/>
    <w:rsid w:val="000F52D8"/>
    <w:rsid w:val="000F64A2"/>
    <w:rsid w:val="000F7418"/>
    <w:rsid w:val="000F7E9C"/>
    <w:rsid w:val="00100EA9"/>
    <w:rsid w:val="0010147A"/>
    <w:rsid w:val="001017C3"/>
    <w:rsid w:val="0010194F"/>
    <w:rsid w:val="00101A34"/>
    <w:rsid w:val="00101D18"/>
    <w:rsid w:val="00102545"/>
    <w:rsid w:val="00105178"/>
    <w:rsid w:val="001062AD"/>
    <w:rsid w:val="001079A0"/>
    <w:rsid w:val="00110AA6"/>
    <w:rsid w:val="00112389"/>
    <w:rsid w:val="00113C2D"/>
    <w:rsid w:val="00116460"/>
    <w:rsid w:val="00117D5C"/>
    <w:rsid w:val="00121456"/>
    <w:rsid w:val="00124E60"/>
    <w:rsid w:val="00125D17"/>
    <w:rsid w:val="00127A00"/>
    <w:rsid w:val="0013076C"/>
    <w:rsid w:val="00131E90"/>
    <w:rsid w:val="0013463C"/>
    <w:rsid w:val="0013784F"/>
    <w:rsid w:val="00140BC0"/>
    <w:rsid w:val="001410CD"/>
    <w:rsid w:val="00141283"/>
    <w:rsid w:val="001431DC"/>
    <w:rsid w:val="00144335"/>
    <w:rsid w:val="0014598F"/>
    <w:rsid w:val="00145BA0"/>
    <w:rsid w:val="00146289"/>
    <w:rsid w:val="00146F81"/>
    <w:rsid w:val="0014794A"/>
    <w:rsid w:val="0015051E"/>
    <w:rsid w:val="00150710"/>
    <w:rsid w:val="001513F6"/>
    <w:rsid w:val="00151B83"/>
    <w:rsid w:val="001526F4"/>
    <w:rsid w:val="00153DBB"/>
    <w:rsid w:val="00154E10"/>
    <w:rsid w:val="00155158"/>
    <w:rsid w:val="001627D6"/>
    <w:rsid w:val="00164595"/>
    <w:rsid w:val="00164F12"/>
    <w:rsid w:val="001658E8"/>
    <w:rsid w:val="00166D8F"/>
    <w:rsid w:val="00166EA4"/>
    <w:rsid w:val="00166FF3"/>
    <w:rsid w:val="00167568"/>
    <w:rsid w:val="00170588"/>
    <w:rsid w:val="00170B08"/>
    <w:rsid w:val="00170D6E"/>
    <w:rsid w:val="00170FAB"/>
    <w:rsid w:val="00171903"/>
    <w:rsid w:val="00175853"/>
    <w:rsid w:val="001808BC"/>
    <w:rsid w:val="00181080"/>
    <w:rsid w:val="0018164C"/>
    <w:rsid w:val="00181DAF"/>
    <w:rsid w:val="00182688"/>
    <w:rsid w:val="00182CE2"/>
    <w:rsid w:val="001832F1"/>
    <w:rsid w:val="00185820"/>
    <w:rsid w:val="00185A1E"/>
    <w:rsid w:val="0018676A"/>
    <w:rsid w:val="00186CC3"/>
    <w:rsid w:val="00191DF7"/>
    <w:rsid w:val="00192B7A"/>
    <w:rsid w:val="0019312B"/>
    <w:rsid w:val="00193C71"/>
    <w:rsid w:val="001958D3"/>
    <w:rsid w:val="00196191"/>
    <w:rsid w:val="00196484"/>
    <w:rsid w:val="001966DD"/>
    <w:rsid w:val="00197C10"/>
    <w:rsid w:val="001A1C14"/>
    <w:rsid w:val="001A2FF2"/>
    <w:rsid w:val="001A3682"/>
    <w:rsid w:val="001A4600"/>
    <w:rsid w:val="001A7206"/>
    <w:rsid w:val="001A7AAD"/>
    <w:rsid w:val="001B00FB"/>
    <w:rsid w:val="001B1433"/>
    <w:rsid w:val="001B1659"/>
    <w:rsid w:val="001B26B8"/>
    <w:rsid w:val="001B474D"/>
    <w:rsid w:val="001B51F5"/>
    <w:rsid w:val="001B7240"/>
    <w:rsid w:val="001B75E1"/>
    <w:rsid w:val="001C030B"/>
    <w:rsid w:val="001C1EAA"/>
    <w:rsid w:val="001C27C9"/>
    <w:rsid w:val="001C47B1"/>
    <w:rsid w:val="001C4923"/>
    <w:rsid w:val="001C4CF6"/>
    <w:rsid w:val="001C681A"/>
    <w:rsid w:val="001C706A"/>
    <w:rsid w:val="001C78AB"/>
    <w:rsid w:val="001D0C7F"/>
    <w:rsid w:val="001D14D8"/>
    <w:rsid w:val="001D1FBD"/>
    <w:rsid w:val="001D2B68"/>
    <w:rsid w:val="001D331C"/>
    <w:rsid w:val="001D4612"/>
    <w:rsid w:val="001D4A3E"/>
    <w:rsid w:val="001D5C24"/>
    <w:rsid w:val="001D5E4D"/>
    <w:rsid w:val="001D6061"/>
    <w:rsid w:val="001D7529"/>
    <w:rsid w:val="001E008C"/>
    <w:rsid w:val="001E1574"/>
    <w:rsid w:val="001E188B"/>
    <w:rsid w:val="001E1C02"/>
    <w:rsid w:val="001E2EC1"/>
    <w:rsid w:val="001E5508"/>
    <w:rsid w:val="001E5EC6"/>
    <w:rsid w:val="001E7C4A"/>
    <w:rsid w:val="001E7FE3"/>
    <w:rsid w:val="001F189D"/>
    <w:rsid w:val="001F2001"/>
    <w:rsid w:val="001F221B"/>
    <w:rsid w:val="001F26BB"/>
    <w:rsid w:val="001F3052"/>
    <w:rsid w:val="001F323E"/>
    <w:rsid w:val="001F3771"/>
    <w:rsid w:val="001F6339"/>
    <w:rsid w:val="001F79BC"/>
    <w:rsid w:val="00200539"/>
    <w:rsid w:val="0020064C"/>
    <w:rsid w:val="002013E3"/>
    <w:rsid w:val="0020192B"/>
    <w:rsid w:val="00202508"/>
    <w:rsid w:val="0020273D"/>
    <w:rsid w:val="00202D64"/>
    <w:rsid w:val="0020343F"/>
    <w:rsid w:val="00204F64"/>
    <w:rsid w:val="002052F6"/>
    <w:rsid w:val="00206C1B"/>
    <w:rsid w:val="0020730F"/>
    <w:rsid w:val="00207916"/>
    <w:rsid w:val="00211554"/>
    <w:rsid w:val="0021197E"/>
    <w:rsid w:val="00211FE2"/>
    <w:rsid w:val="002121D1"/>
    <w:rsid w:val="002125C1"/>
    <w:rsid w:val="002132AF"/>
    <w:rsid w:val="0021369C"/>
    <w:rsid w:val="00213775"/>
    <w:rsid w:val="00213F0E"/>
    <w:rsid w:val="002142F8"/>
    <w:rsid w:val="002152BB"/>
    <w:rsid w:val="00215584"/>
    <w:rsid w:val="0021628C"/>
    <w:rsid w:val="0021667F"/>
    <w:rsid w:val="00221663"/>
    <w:rsid w:val="00221CAE"/>
    <w:rsid w:val="00226DEB"/>
    <w:rsid w:val="00227F1C"/>
    <w:rsid w:val="00230074"/>
    <w:rsid w:val="00231EA2"/>
    <w:rsid w:val="0023515D"/>
    <w:rsid w:val="00235C76"/>
    <w:rsid w:val="002374BB"/>
    <w:rsid w:val="00237DBA"/>
    <w:rsid w:val="00241764"/>
    <w:rsid w:val="002424B8"/>
    <w:rsid w:val="00244819"/>
    <w:rsid w:val="00247B0C"/>
    <w:rsid w:val="00251460"/>
    <w:rsid w:val="0025463A"/>
    <w:rsid w:val="00254CDD"/>
    <w:rsid w:val="00256993"/>
    <w:rsid w:val="0025731F"/>
    <w:rsid w:val="00261BDC"/>
    <w:rsid w:val="0026233C"/>
    <w:rsid w:val="00263248"/>
    <w:rsid w:val="002644C3"/>
    <w:rsid w:val="0026573E"/>
    <w:rsid w:val="0026681A"/>
    <w:rsid w:val="00266D48"/>
    <w:rsid w:val="0026738C"/>
    <w:rsid w:val="00277C7F"/>
    <w:rsid w:val="0028085B"/>
    <w:rsid w:val="00282765"/>
    <w:rsid w:val="00282F2A"/>
    <w:rsid w:val="0028585A"/>
    <w:rsid w:val="00286AE5"/>
    <w:rsid w:val="00293A5E"/>
    <w:rsid w:val="002953D6"/>
    <w:rsid w:val="002961A2"/>
    <w:rsid w:val="00297415"/>
    <w:rsid w:val="00297C04"/>
    <w:rsid w:val="002A124B"/>
    <w:rsid w:val="002A1AB4"/>
    <w:rsid w:val="002A276C"/>
    <w:rsid w:val="002A4470"/>
    <w:rsid w:val="002A482C"/>
    <w:rsid w:val="002A6EC6"/>
    <w:rsid w:val="002B1F6B"/>
    <w:rsid w:val="002B283F"/>
    <w:rsid w:val="002B3A83"/>
    <w:rsid w:val="002B3E6F"/>
    <w:rsid w:val="002B3FD5"/>
    <w:rsid w:val="002B6E40"/>
    <w:rsid w:val="002C0A7E"/>
    <w:rsid w:val="002C1037"/>
    <w:rsid w:val="002C1269"/>
    <w:rsid w:val="002C14A4"/>
    <w:rsid w:val="002C26C8"/>
    <w:rsid w:val="002C35C9"/>
    <w:rsid w:val="002C37FB"/>
    <w:rsid w:val="002C4829"/>
    <w:rsid w:val="002C49AA"/>
    <w:rsid w:val="002C61E7"/>
    <w:rsid w:val="002D06C1"/>
    <w:rsid w:val="002D100A"/>
    <w:rsid w:val="002D18FD"/>
    <w:rsid w:val="002D685B"/>
    <w:rsid w:val="002D6882"/>
    <w:rsid w:val="002D7187"/>
    <w:rsid w:val="002D7A2D"/>
    <w:rsid w:val="002E2982"/>
    <w:rsid w:val="002E2C80"/>
    <w:rsid w:val="002E38BB"/>
    <w:rsid w:val="002E3A79"/>
    <w:rsid w:val="002E568D"/>
    <w:rsid w:val="002E5943"/>
    <w:rsid w:val="002E602D"/>
    <w:rsid w:val="002E617F"/>
    <w:rsid w:val="002E69FA"/>
    <w:rsid w:val="002E7788"/>
    <w:rsid w:val="002F0565"/>
    <w:rsid w:val="002F05C2"/>
    <w:rsid w:val="002F0F11"/>
    <w:rsid w:val="002F1592"/>
    <w:rsid w:val="002F171C"/>
    <w:rsid w:val="002F31E9"/>
    <w:rsid w:val="002F49DF"/>
    <w:rsid w:val="002F5A29"/>
    <w:rsid w:val="002F79BD"/>
    <w:rsid w:val="0030093D"/>
    <w:rsid w:val="00303C01"/>
    <w:rsid w:val="0030412E"/>
    <w:rsid w:val="003041EA"/>
    <w:rsid w:val="00304D6C"/>
    <w:rsid w:val="00306072"/>
    <w:rsid w:val="00307195"/>
    <w:rsid w:val="0030729E"/>
    <w:rsid w:val="00311258"/>
    <w:rsid w:val="00311F12"/>
    <w:rsid w:val="00312A68"/>
    <w:rsid w:val="003143B9"/>
    <w:rsid w:val="003147BC"/>
    <w:rsid w:val="00314D96"/>
    <w:rsid w:val="00322623"/>
    <w:rsid w:val="00324115"/>
    <w:rsid w:val="0033044B"/>
    <w:rsid w:val="00331ABD"/>
    <w:rsid w:val="00333D10"/>
    <w:rsid w:val="00334F44"/>
    <w:rsid w:val="003358FB"/>
    <w:rsid w:val="003363BB"/>
    <w:rsid w:val="00336E8F"/>
    <w:rsid w:val="003410A4"/>
    <w:rsid w:val="0034267A"/>
    <w:rsid w:val="00344720"/>
    <w:rsid w:val="00346243"/>
    <w:rsid w:val="003500A9"/>
    <w:rsid w:val="0035428E"/>
    <w:rsid w:val="00357287"/>
    <w:rsid w:val="00357B39"/>
    <w:rsid w:val="003613F8"/>
    <w:rsid w:val="00361416"/>
    <w:rsid w:val="00361C23"/>
    <w:rsid w:val="003638FA"/>
    <w:rsid w:val="0036505F"/>
    <w:rsid w:val="003665B2"/>
    <w:rsid w:val="00371555"/>
    <w:rsid w:val="003726E3"/>
    <w:rsid w:val="00373010"/>
    <w:rsid w:val="00373A1F"/>
    <w:rsid w:val="00373ADA"/>
    <w:rsid w:val="00373E5C"/>
    <w:rsid w:val="00375055"/>
    <w:rsid w:val="00375675"/>
    <w:rsid w:val="0037679D"/>
    <w:rsid w:val="00377B35"/>
    <w:rsid w:val="00380333"/>
    <w:rsid w:val="003814D0"/>
    <w:rsid w:val="0038151A"/>
    <w:rsid w:val="00381B44"/>
    <w:rsid w:val="0038284A"/>
    <w:rsid w:val="00384521"/>
    <w:rsid w:val="00386793"/>
    <w:rsid w:val="00386D82"/>
    <w:rsid w:val="0038727C"/>
    <w:rsid w:val="00387633"/>
    <w:rsid w:val="00387AB0"/>
    <w:rsid w:val="00387EB5"/>
    <w:rsid w:val="00392A33"/>
    <w:rsid w:val="00392DBB"/>
    <w:rsid w:val="0039318A"/>
    <w:rsid w:val="0039528A"/>
    <w:rsid w:val="00395E66"/>
    <w:rsid w:val="0039640C"/>
    <w:rsid w:val="00396D54"/>
    <w:rsid w:val="00397622"/>
    <w:rsid w:val="003A082D"/>
    <w:rsid w:val="003A1085"/>
    <w:rsid w:val="003A12F4"/>
    <w:rsid w:val="003A2632"/>
    <w:rsid w:val="003A2BBE"/>
    <w:rsid w:val="003A501F"/>
    <w:rsid w:val="003A622F"/>
    <w:rsid w:val="003B1214"/>
    <w:rsid w:val="003B26EC"/>
    <w:rsid w:val="003B29A8"/>
    <w:rsid w:val="003B3A00"/>
    <w:rsid w:val="003B5A26"/>
    <w:rsid w:val="003B5DFE"/>
    <w:rsid w:val="003B6227"/>
    <w:rsid w:val="003B76DA"/>
    <w:rsid w:val="003C040C"/>
    <w:rsid w:val="003C2B76"/>
    <w:rsid w:val="003C2BE4"/>
    <w:rsid w:val="003C3168"/>
    <w:rsid w:val="003C3461"/>
    <w:rsid w:val="003C3A9E"/>
    <w:rsid w:val="003C3F04"/>
    <w:rsid w:val="003C5E69"/>
    <w:rsid w:val="003C6E7F"/>
    <w:rsid w:val="003C7276"/>
    <w:rsid w:val="003D09D1"/>
    <w:rsid w:val="003D249C"/>
    <w:rsid w:val="003D3843"/>
    <w:rsid w:val="003D7DE1"/>
    <w:rsid w:val="003E2A74"/>
    <w:rsid w:val="003E3DD2"/>
    <w:rsid w:val="003E3FC7"/>
    <w:rsid w:val="003E4C1D"/>
    <w:rsid w:val="003E55FA"/>
    <w:rsid w:val="003E5C90"/>
    <w:rsid w:val="003E6AFD"/>
    <w:rsid w:val="003E6C08"/>
    <w:rsid w:val="003E6FA2"/>
    <w:rsid w:val="003E707D"/>
    <w:rsid w:val="003E755D"/>
    <w:rsid w:val="003F0CEE"/>
    <w:rsid w:val="003F17EE"/>
    <w:rsid w:val="003F23F8"/>
    <w:rsid w:val="003F2508"/>
    <w:rsid w:val="003F3176"/>
    <w:rsid w:val="003F360A"/>
    <w:rsid w:val="003F3DD8"/>
    <w:rsid w:val="003F6EDB"/>
    <w:rsid w:val="004000C2"/>
    <w:rsid w:val="00401F7B"/>
    <w:rsid w:val="00402FDE"/>
    <w:rsid w:val="00403C7E"/>
    <w:rsid w:val="00404D2D"/>
    <w:rsid w:val="004059D6"/>
    <w:rsid w:val="00406258"/>
    <w:rsid w:val="00406947"/>
    <w:rsid w:val="0040741A"/>
    <w:rsid w:val="00407529"/>
    <w:rsid w:val="00407B2E"/>
    <w:rsid w:val="0041018C"/>
    <w:rsid w:val="004107CF"/>
    <w:rsid w:val="004117D0"/>
    <w:rsid w:val="004120FC"/>
    <w:rsid w:val="00413BCF"/>
    <w:rsid w:val="00414FBB"/>
    <w:rsid w:val="00415341"/>
    <w:rsid w:val="0041585A"/>
    <w:rsid w:val="004202FC"/>
    <w:rsid w:val="004227C0"/>
    <w:rsid w:val="00422DDE"/>
    <w:rsid w:val="00430AC1"/>
    <w:rsid w:val="00432263"/>
    <w:rsid w:val="0043234A"/>
    <w:rsid w:val="004328F1"/>
    <w:rsid w:val="00433CC5"/>
    <w:rsid w:val="00434E1F"/>
    <w:rsid w:val="00434F24"/>
    <w:rsid w:val="00435052"/>
    <w:rsid w:val="004350A0"/>
    <w:rsid w:val="004354E0"/>
    <w:rsid w:val="004372DC"/>
    <w:rsid w:val="00437BC9"/>
    <w:rsid w:val="00437DF3"/>
    <w:rsid w:val="00437F70"/>
    <w:rsid w:val="004402C9"/>
    <w:rsid w:val="00440D61"/>
    <w:rsid w:val="00440F58"/>
    <w:rsid w:val="00442A4D"/>
    <w:rsid w:val="00443834"/>
    <w:rsid w:val="00443CDA"/>
    <w:rsid w:val="00445BCF"/>
    <w:rsid w:val="00450968"/>
    <w:rsid w:val="00451676"/>
    <w:rsid w:val="00451E8E"/>
    <w:rsid w:val="00452797"/>
    <w:rsid w:val="00452D58"/>
    <w:rsid w:val="00453900"/>
    <w:rsid w:val="00453B2A"/>
    <w:rsid w:val="00455250"/>
    <w:rsid w:val="0045584F"/>
    <w:rsid w:val="0046099E"/>
    <w:rsid w:val="00460F0E"/>
    <w:rsid w:val="004643B0"/>
    <w:rsid w:val="00464A8F"/>
    <w:rsid w:val="00465CEA"/>
    <w:rsid w:val="0046677E"/>
    <w:rsid w:val="00466B70"/>
    <w:rsid w:val="004677E4"/>
    <w:rsid w:val="00467D0D"/>
    <w:rsid w:val="004711FA"/>
    <w:rsid w:val="00471BB7"/>
    <w:rsid w:val="004727B4"/>
    <w:rsid w:val="0047311B"/>
    <w:rsid w:val="0047370A"/>
    <w:rsid w:val="00474704"/>
    <w:rsid w:val="00480BB9"/>
    <w:rsid w:val="00483050"/>
    <w:rsid w:val="004831A0"/>
    <w:rsid w:val="00483AA7"/>
    <w:rsid w:val="00485FC9"/>
    <w:rsid w:val="00486C18"/>
    <w:rsid w:val="0048721F"/>
    <w:rsid w:val="0048758A"/>
    <w:rsid w:val="00487BD2"/>
    <w:rsid w:val="0049070B"/>
    <w:rsid w:val="00491880"/>
    <w:rsid w:val="00496C2E"/>
    <w:rsid w:val="00496D28"/>
    <w:rsid w:val="004A23A9"/>
    <w:rsid w:val="004A259E"/>
    <w:rsid w:val="004A29B0"/>
    <w:rsid w:val="004A2F90"/>
    <w:rsid w:val="004A37F9"/>
    <w:rsid w:val="004A38EE"/>
    <w:rsid w:val="004A4919"/>
    <w:rsid w:val="004A6A21"/>
    <w:rsid w:val="004B1AF8"/>
    <w:rsid w:val="004B4441"/>
    <w:rsid w:val="004B49AA"/>
    <w:rsid w:val="004B660D"/>
    <w:rsid w:val="004B678F"/>
    <w:rsid w:val="004B6F41"/>
    <w:rsid w:val="004B72AA"/>
    <w:rsid w:val="004C0167"/>
    <w:rsid w:val="004C0F98"/>
    <w:rsid w:val="004C25EE"/>
    <w:rsid w:val="004C2FB8"/>
    <w:rsid w:val="004C315A"/>
    <w:rsid w:val="004C4153"/>
    <w:rsid w:val="004C41C5"/>
    <w:rsid w:val="004C43D0"/>
    <w:rsid w:val="004C6C43"/>
    <w:rsid w:val="004C708F"/>
    <w:rsid w:val="004D10A8"/>
    <w:rsid w:val="004D267E"/>
    <w:rsid w:val="004D26FB"/>
    <w:rsid w:val="004D2702"/>
    <w:rsid w:val="004D3110"/>
    <w:rsid w:val="004D3E0F"/>
    <w:rsid w:val="004D5582"/>
    <w:rsid w:val="004E100F"/>
    <w:rsid w:val="004E16D7"/>
    <w:rsid w:val="004E2FE7"/>
    <w:rsid w:val="004E3412"/>
    <w:rsid w:val="004F020E"/>
    <w:rsid w:val="004F02DD"/>
    <w:rsid w:val="004F0CC9"/>
    <w:rsid w:val="004F0E45"/>
    <w:rsid w:val="004F10F7"/>
    <w:rsid w:val="004F28EF"/>
    <w:rsid w:val="004F334D"/>
    <w:rsid w:val="004F37DA"/>
    <w:rsid w:val="004F5C6E"/>
    <w:rsid w:val="004F5DB6"/>
    <w:rsid w:val="004F7B26"/>
    <w:rsid w:val="00500C2C"/>
    <w:rsid w:val="00500F51"/>
    <w:rsid w:val="00501921"/>
    <w:rsid w:val="0050321A"/>
    <w:rsid w:val="005042E3"/>
    <w:rsid w:val="00504870"/>
    <w:rsid w:val="00504EF3"/>
    <w:rsid w:val="0050600B"/>
    <w:rsid w:val="0050641C"/>
    <w:rsid w:val="005064E6"/>
    <w:rsid w:val="00510697"/>
    <w:rsid w:val="00511AB5"/>
    <w:rsid w:val="00511BC4"/>
    <w:rsid w:val="00511F52"/>
    <w:rsid w:val="005147C6"/>
    <w:rsid w:val="00514A37"/>
    <w:rsid w:val="0051625B"/>
    <w:rsid w:val="00517328"/>
    <w:rsid w:val="00520E7C"/>
    <w:rsid w:val="00522281"/>
    <w:rsid w:val="00522884"/>
    <w:rsid w:val="005233E2"/>
    <w:rsid w:val="005234CC"/>
    <w:rsid w:val="00523CDE"/>
    <w:rsid w:val="0052441E"/>
    <w:rsid w:val="005269B8"/>
    <w:rsid w:val="0052797B"/>
    <w:rsid w:val="005303F8"/>
    <w:rsid w:val="00532B32"/>
    <w:rsid w:val="00533F5F"/>
    <w:rsid w:val="005344E5"/>
    <w:rsid w:val="00534AD3"/>
    <w:rsid w:val="0053525D"/>
    <w:rsid w:val="00536892"/>
    <w:rsid w:val="005370AB"/>
    <w:rsid w:val="00537404"/>
    <w:rsid w:val="00537D5B"/>
    <w:rsid w:val="00537DCB"/>
    <w:rsid w:val="00540ABC"/>
    <w:rsid w:val="00542EE2"/>
    <w:rsid w:val="005431CB"/>
    <w:rsid w:val="005460B5"/>
    <w:rsid w:val="00547DF2"/>
    <w:rsid w:val="00551A98"/>
    <w:rsid w:val="00551D4A"/>
    <w:rsid w:val="005532A4"/>
    <w:rsid w:val="00553D41"/>
    <w:rsid w:val="00554851"/>
    <w:rsid w:val="00555426"/>
    <w:rsid w:val="0055543E"/>
    <w:rsid w:val="00556287"/>
    <w:rsid w:val="005566A6"/>
    <w:rsid w:val="005568A8"/>
    <w:rsid w:val="00556F21"/>
    <w:rsid w:val="00557714"/>
    <w:rsid w:val="0056034A"/>
    <w:rsid w:val="00560B65"/>
    <w:rsid w:val="00560FD1"/>
    <w:rsid w:val="00561D38"/>
    <w:rsid w:val="00561D73"/>
    <w:rsid w:val="00561ECA"/>
    <w:rsid w:val="00561FCB"/>
    <w:rsid w:val="00563262"/>
    <w:rsid w:val="0056380A"/>
    <w:rsid w:val="00564880"/>
    <w:rsid w:val="00565B2E"/>
    <w:rsid w:val="00565D6F"/>
    <w:rsid w:val="00570687"/>
    <w:rsid w:val="00571FC7"/>
    <w:rsid w:val="00572A0D"/>
    <w:rsid w:val="00572A13"/>
    <w:rsid w:val="00572A4B"/>
    <w:rsid w:val="005742A5"/>
    <w:rsid w:val="0057706A"/>
    <w:rsid w:val="005771C1"/>
    <w:rsid w:val="0057731A"/>
    <w:rsid w:val="00577887"/>
    <w:rsid w:val="00580A1A"/>
    <w:rsid w:val="00581AFB"/>
    <w:rsid w:val="00581B82"/>
    <w:rsid w:val="005820C7"/>
    <w:rsid w:val="005827EB"/>
    <w:rsid w:val="0058454B"/>
    <w:rsid w:val="00584B93"/>
    <w:rsid w:val="005855A5"/>
    <w:rsid w:val="0058619A"/>
    <w:rsid w:val="005870D3"/>
    <w:rsid w:val="0059009E"/>
    <w:rsid w:val="0059055C"/>
    <w:rsid w:val="00591DE2"/>
    <w:rsid w:val="005927ED"/>
    <w:rsid w:val="00593DF0"/>
    <w:rsid w:val="00595B14"/>
    <w:rsid w:val="00596529"/>
    <w:rsid w:val="00596DA3"/>
    <w:rsid w:val="00597871"/>
    <w:rsid w:val="00597CE1"/>
    <w:rsid w:val="005A1029"/>
    <w:rsid w:val="005A2009"/>
    <w:rsid w:val="005A2015"/>
    <w:rsid w:val="005A2E5E"/>
    <w:rsid w:val="005A34C9"/>
    <w:rsid w:val="005A3D9A"/>
    <w:rsid w:val="005A3EB7"/>
    <w:rsid w:val="005A60AF"/>
    <w:rsid w:val="005A61EB"/>
    <w:rsid w:val="005A6470"/>
    <w:rsid w:val="005A6F0A"/>
    <w:rsid w:val="005A7832"/>
    <w:rsid w:val="005B0F78"/>
    <w:rsid w:val="005B0FBF"/>
    <w:rsid w:val="005B23A9"/>
    <w:rsid w:val="005B2C7D"/>
    <w:rsid w:val="005B3F64"/>
    <w:rsid w:val="005B49DC"/>
    <w:rsid w:val="005B5CEA"/>
    <w:rsid w:val="005B790A"/>
    <w:rsid w:val="005B7EE9"/>
    <w:rsid w:val="005C2B3E"/>
    <w:rsid w:val="005C34F4"/>
    <w:rsid w:val="005C41C8"/>
    <w:rsid w:val="005C502B"/>
    <w:rsid w:val="005C5522"/>
    <w:rsid w:val="005C59A5"/>
    <w:rsid w:val="005C603C"/>
    <w:rsid w:val="005D016E"/>
    <w:rsid w:val="005D0AF5"/>
    <w:rsid w:val="005D2DF4"/>
    <w:rsid w:val="005D2ED8"/>
    <w:rsid w:val="005D516D"/>
    <w:rsid w:val="005D58D4"/>
    <w:rsid w:val="005D66AA"/>
    <w:rsid w:val="005D7359"/>
    <w:rsid w:val="005E052D"/>
    <w:rsid w:val="005E0555"/>
    <w:rsid w:val="005E0F63"/>
    <w:rsid w:val="005E155D"/>
    <w:rsid w:val="005E1DDC"/>
    <w:rsid w:val="005E38D9"/>
    <w:rsid w:val="005E4BA1"/>
    <w:rsid w:val="005E533F"/>
    <w:rsid w:val="005E55FF"/>
    <w:rsid w:val="005F0A3B"/>
    <w:rsid w:val="005F33E9"/>
    <w:rsid w:val="005F348F"/>
    <w:rsid w:val="005F35F0"/>
    <w:rsid w:val="005F4D1C"/>
    <w:rsid w:val="005F4D3D"/>
    <w:rsid w:val="005F650C"/>
    <w:rsid w:val="006008B6"/>
    <w:rsid w:val="006009FA"/>
    <w:rsid w:val="00601DD0"/>
    <w:rsid w:val="00602983"/>
    <w:rsid w:val="00602F48"/>
    <w:rsid w:val="00603245"/>
    <w:rsid w:val="00605AA6"/>
    <w:rsid w:val="00605C42"/>
    <w:rsid w:val="006065B6"/>
    <w:rsid w:val="00610D1A"/>
    <w:rsid w:val="006118FD"/>
    <w:rsid w:val="0061273C"/>
    <w:rsid w:val="006127C8"/>
    <w:rsid w:val="00615B97"/>
    <w:rsid w:val="00616383"/>
    <w:rsid w:val="006163E6"/>
    <w:rsid w:val="006209ED"/>
    <w:rsid w:val="00620CC2"/>
    <w:rsid w:val="006226AA"/>
    <w:rsid w:val="006227E9"/>
    <w:rsid w:val="00622C61"/>
    <w:rsid w:val="0062357F"/>
    <w:rsid w:val="00624B7A"/>
    <w:rsid w:val="006274B3"/>
    <w:rsid w:val="006275C9"/>
    <w:rsid w:val="0063037A"/>
    <w:rsid w:val="00630499"/>
    <w:rsid w:val="00631CD6"/>
    <w:rsid w:val="00631EE8"/>
    <w:rsid w:val="006328A7"/>
    <w:rsid w:val="00633856"/>
    <w:rsid w:val="00633F51"/>
    <w:rsid w:val="00634662"/>
    <w:rsid w:val="00634F72"/>
    <w:rsid w:val="0063599F"/>
    <w:rsid w:val="00635D34"/>
    <w:rsid w:val="00637505"/>
    <w:rsid w:val="00643CFC"/>
    <w:rsid w:val="00643F34"/>
    <w:rsid w:val="006440E1"/>
    <w:rsid w:val="006444FC"/>
    <w:rsid w:val="006445E1"/>
    <w:rsid w:val="00644CF3"/>
    <w:rsid w:val="00650B15"/>
    <w:rsid w:val="00650D23"/>
    <w:rsid w:val="006512F9"/>
    <w:rsid w:val="00651B41"/>
    <w:rsid w:val="0065375B"/>
    <w:rsid w:val="006550FD"/>
    <w:rsid w:val="0065696C"/>
    <w:rsid w:val="006573F6"/>
    <w:rsid w:val="0066483F"/>
    <w:rsid w:val="00665C77"/>
    <w:rsid w:val="006667A0"/>
    <w:rsid w:val="00666ED9"/>
    <w:rsid w:val="006705EF"/>
    <w:rsid w:val="00670A08"/>
    <w:rsid w:val="006724C3"/>
    <w:rsid w:val="00672BCE"/>
    <w:rsid w:val="0067782B"/>
    <w:rsid w:val="0068012E"/>
    <w:rsid w:val="006805D1"/>
    <w:rsid w:val="00680640"/>
    <w:rsid w:val="00680DFA"/>
    <w:rsid w:val="00680ECE"/>
    <w:rsid w:val="006832D3"/>
    <w:rsid w:val="00684EFF"/>
    <w:rsid w:val="00685275"/>
    <w:rsid w:val="00686BAF"/>
    <w:rsid w:val="00686FD9"/>
    <w:rsid w:val="00687E93"/>
    <w:rsid w:val="006918AE"/>
    <w:rsid w:val="0069390A"/>
    <w:rsid w:val="00693921"/>
    <w:rsid w:val="006964DD"/>
    <w:rsid w:val="006A06DD"/>
    <w:rsid w:val="006A0976"/>
    <w:rsid w:val="006A3AC0"/>
    <w:rsid w:val="006A593E"/>
    <w:rsid w:val="006A7221"/>
    <w:rsid w:val="006B04D2"/>
    <w:rsid w:val="006B0B7F"/>
    <w:rsid w:val="006B0D6D"/>
    <w:rsid w:val="006B2606"/>
    <w:rsid w:val="006B2929"/>
    <w:rsid w:val="006B2D67"/>
    <w:rsid w:val="006B460F"/>
    <w:rsid w:val="006B4CAB"/>
    <w:rsid w:val="006B66CC"/>
    <w:rsid w:val="006C0067"/>
    <w:rsid w:val="006C0A53"/>
    <w:rsid w:val="006C1245"/>
    <w:rsid w:val="006C1F0B"/>
    <w:rsid w:val="006C2C86"/>
    <w:rsid w:val="006C510F"/>
    <w:rsid w:val="006C6B16"/>
    <w:rsid w:val="006C705F"/>
    <w:rsid w:val="006C79BC"/>
    <w:rsid w:val="006D1C07"/>
    <w:rsid w:val="006D27F2"/>
    <w:rsid w:val="006D3B27"/>
    <w:rsid w:val="006D4855"/>
    <w:rsid w:val="006D536F"/>
    <w:rsid w:val="006D6669"/>
    <w:rsid w:val="006D6F2D"/>
    <w:rsid w:val="006D76BD"/>
    <w:rsid w:val="006D799E"/>
    <w:rsid w:val="006E0145"/>
    <w:rsid w:val="006E01D8"/>
    <w:rsid w:val="006E10D4"/>
    <w:rsid w:val="006E1B1D"/>
    <w:rsid w:val="006E2CE3"/>
    <w:rsid w:val="006E3C80"/>
    <w:rsid w:val="006E49D7"/>
    <w:rsid w:val="006F0625"/>
    <w:rsid w:val="006F083E"/>
    <w:rsid w:val="006F092E"/>
    <w:rsid w:val="006F1FA1"/>
    <w:rsid w:val="006F20DC"/>
    <w:rsid w:val="006F20F4"/>
    <w:rsid w:val="006F30FE"/>
    <w:rsid w:val="006F3230"/>
    <w:rsid w:val="006F6F18"/>
    <w:rsid w:val="006F6F51"/>
    <w:rsid w:val="007013E1"/>
    <w:rsid w:val="00702386"/>
    <w:rsid w:val="00704369"/>
    <w:rsid w:val="00704BB1"/>
    <w:rsid w:val="0070617D"/>
    <w:rsid w:val="00710408"/>
    <w:rsid w:val="00710C9A"/>
    <w:rsid w:val="00713002"/>
    <w:rsid w:val="00713AED"/>
    <w:rsid w:val="00713FB4"/>
    <w:rsid w:val="0071541F"/>
    <w:rsid w:val="00715C34"/>
    <w:rsid w:val="00715F5D"/>
    <w:rsid w:val="00720AA2"/>
    <w:rsid w:val="007217A9"/>
    <w:rsid w:val="00721FAE"/>
    <w:rsid w:val="007220FA"/>
    <w:rsid w:val="0072375D"/>
    <w:rsid w:val="00724055"/>
    <w:rsid w:val="00727010"/>
    <w:rsid w:val="0072733A"/>
    <w:rsid w:val="00730CA2"/>
    <w:rsid w:val="00730D25"/>
    <w:rsid w:val="00732DDB"/>
    <w:rsid w:val="00732EBE"/>
    <w:rsid w:val="007332EF"/>
    <w:rsid w:val="0073380A"/>
    <w:rsid w:val="007356CB"/>
    <w:rsid w:val="007358F5"/>
    <w:rsid w:val="00735E45"/>
    <w:rsid w:val="007363A3"/>
    <w:rsid w:val="00736F8D"/>
    <w:rsid w:val="00737322"/>
    <w:rsid w:val="00741708"/>
    <w:rsid w:val="007445B3"/>
    <w:rsid w:val="00744C43"/>
    <w:rsid w:val="00744D28"/>
    <w:rsid w:val="00744F7F"/>
    <w:rsid w:val="007455A7"/>
    <w:rsid w:val="00746419"/>
    <w:rsid w:val="00746568"/>
    <w:rsid w:val="007465F5"/>
    <w:rsid w:val="00751C41"/>
    <w:rsid w:val="00751C7A"/>
    <w:rsid w:val="00751EC9"/>
    <w:rsid w:val="007531FD"/>
    <w:rsid w:val="007601F9"/>
    <w:rsid w:val="007610AB"/>
    <w:rsid w:val="00761FE3"/>
    <w:rsid w:val="007635BF"/>
    <w:rsid w:val="00763BF4"/>
    <w:rsid w:val="00764E00"/>
    <w:rsid w:val="007661F2"/>
    <w:rsid w:val="00766966"/>
    <w:rsid w:val="007673DD"/>
    <w:rsid w:val="007677DE"/>
    <w:rsid w:val="00770CF7"/>
    <w:rsid w:val="00770E13"/>
    <w:rsid w:val="00771018"/>
    <w:rsid w:val="00771C59"/>
    <w:rsid w:val="00771DF8"/>
    <w:rsid w:val="00772E5A"/>
    <w:rsid w:val="007734B1"/>
    <w:rsid w:val="00775E1B"/>
    <w:rsid w:val="0077677E"/>
    <w:rsid w:val="00776D9A"/>
    <w:rsid w:val="00776E13"/>
    <w:rsid w:val="00776EE4"/>
    <w:rsid w:val="00780B44"/>
    <w:rsid w:val="00780F69"/>
    <w:rsid w:val="007814A4"/>
    <w:rsid w:val="00782CD8"/>
    <w:rsid w:val="00784183"/>
    <w:rsid w:val="007861FD"/>
    <w:rsid w:val="007869A1"/>
    <w:rsid w:val="007871B6"/>
    <w:rsid w:val="007877D5"/>
    <w:rsid w:val="00787B81"/>
    <w:rsid w:val="00787BCC"/>
    <w:rsid w:val="00791804"/>
    <w:rsid w:val="00792E79"/>
    <w:rsid w:val="00793038"/>
    <w:rsid w:val="007932DA"/>
    <w:rsid w:val="007954F4"/>
    <w:rsid w:val="00795E12"/>
    <w:rsid w:val="0079619D"/>
    <w:rsid w:val="0079782B"/>
    <w:rsid w:val="007979BB"/>
    <w:rsid w:val="007A13CA"/>
    <w:rsid w:val="007A2872"/>
    <w:rsid w:val="007A3765"/>
    <w:rsid w:val="007A429A"/>
    <w:rsid w:val="007A6E60"/>
    <w:rsid w:val="007B3718"/>
    <w:rsid w:val="007B391B"/>
    <w:rsid w:val="007B453F"/>
    <w:rsid w:val="007B4D06"/>
    <w:rsid w:val="007B5652"/>
    <w:rsid w:val="007B68B6"/>
    <w:rsid w:val="007B6F82"/>
    <w:rsid w:val="007C0DD1"/>
    <w:rsid w:val="007C35FC"/>
    <w:rsid w:val="007C374A"/>
    <w:rsid w:val="007C57C6"/>
    <w:rsid w:val="007C6461"/>
    <w:rsid w:val="007C7163"/>
    <w:rsid w:val="007C7B49"/>
    <w:rsid w:val="007D0D93"/>
    <w:rsid w:val="007D116C"/>
    <w:rsid w:val="007D1816"/>
    <w:rsid w:val="007D287E"/>
    <w:rsid w:val="007D319E"/>
    <w:rsid w:val="007D36B5"/>
    <w:rsid w:val="007D37B2"/>
    <w:rsid w:val="007D4807"/>
    <w:rsid w:val="007D536A"/>
    <w:rsid w:val="007D536C"/>
    <w:rsid w:val="007D7279"/>
    <w:rsid w:val="007D7724"/>
    <w:rsid w:val="007E0159"/>
    <w:rsid w:val="007E19FC"/>
    <w:rsid w:val="007E1A45"/>
    <w:rsid w:val="007E247D"/>
    <w:rsid w:val="007E406D"/>
    <w:rsid w:val="007E552C"/>
    <w:rsid w:val="007E5C7A"/>
    <w:rsid w:val="007E7779"/>
    <w:rsid w:val="007E7B24"/>
    <w:rsid w:val="007F241E"/>
    <w:rsid w:val="007F26B2"/>
    <w:rsid w:val="007F2D56"/>
    <w:rsid w:val="007F3396"/>
    <w:rsid w:val="007F3F08"/>
    <w:rsid w:val="007F540A"/>
    <w:rsid w:val="007F5463"/>
    <w:rsid w:val="007F57A4"/>
    <w:rsid w:val="007F6513"/>
    <w:rsid w:val="007F65CF"/>
    <w:rsid w:val="007F6864"/>
    <w:rsid w:val="007F6D88"/>
    <w:rsid w:val="00800A07"/>
    <w:rsid w:val="00801242"/>
    <w:rsid w:val="00804424"/>
    <w:rsid w:val="008046BE"/>
    <w:rsid w:val="008048B5"/>
    <w:rsid w:val="008054AB"/>
    <w:rsid w:val="0080579F"/>
    <w:rsid w:val="0080582A"/>
    <w:rsid w:val="00807524"/>
    <w:rsid w:val="00807A1D"/>
    <w:rsid w:val="00807A23"/>
    <w:rsid w:val="008129D3"/>
    <w:rsid w:val="00813615"/>
    <w:rsid w:val="008137CD"/>
    <w:rsid w:val="00813BB7"/>
    <w:rsid w:val="0081443E"/>
    <w:rsid w:val="0081562A"/>
    <w:rsid w:val="00820B18"/>
    <w:rsid w:val="00821292"/>
    <w:rsid w:val="008227BA"/>
    <w:rsid w:val="00822DFD"/>
    <w:rsid w:val="008239C7"/>
    <w:rsid w:val="008250E6"/>
    <w:rsid w:val="00825245"/>
    <w:rsid w:val="00825415"/>
    <w:rsid w:val="0082554F"/>
    <w:rsid w:val="0082742D"/>
    <w:rsid w:val="00827842"/>
    <w:rsid w:val="00831958"/>
    <w:rsid w:val="00831AF6"/>
    <w:rsid w:val="00833607"/>
    <w:rsid w:val="008339B0"/>
    <w:rsid w:val="0083599C"/>
    <w:rsid w:val="00835B87"/>
    <w:rsid w:val="00836A4D"/>
    <w:rsid w:val="008371F9"/>
    <w:rsid w:val="00837C33"/>
    <w:rsid w:val="00840FAD"/>
    <w:rsid w:val="008415C5"/>
    <w:rsid w:val="0084288B"/>
    <w:rsid w:val="00842FD2"/>
    <w:rsid w:val="008438B6"/>
    <w:rsid w:val="00843D2D"/>
    <w:rsid w:val="00844AF4"/>
    <w:rsid w:val="008451BC"/>
    <w:rsid w:val="008475B7"/>
    <w:rsid w:val="008477A8"/>
    <w:rsid w:val="00850469"/>
    <w:rsid w:val="00850BE8"/>
    <w:rsid w:val="0085113C"/>
    <w:rsid w:val="0085162A"/>
    <w:rsid w:val="008536B3"/>
    <w:rsid w:val="008554F5"/>
    <w:rsid w:val="008558ED"/>
    <w:rsid w:val="00855B72"/>
    <w:rsid w:val="00855E72"/>
    <w:rsid w:val="00856496"/>
    <w:rsid w:val="00856B93"/>
    <w:rsid w:val="00856CFB"/>
    <w:rsid w:val="0085714C"/>
    <w:rsid w:val="008607E7"/>
    <w:rsid w:val="00861080"/>
    <w:rsid w:val="00861B4D"/>
    <w:rsid w:val="0086249F"/>
    <w:rsid w:val="00862668"/>
    <w:rsid w:val="00863251"/>
    <w:rsid w:val="0086332B"/>
    <w:rsid w:val="00864812"/>
    <w:rsid w:val="00865A00"/>
    <w:rsid w:val="00866F76"/>
    <w:rsid w:val="00866FC1"/>
    <w:rsid w:val="008679EA"/>
    <w:rsid w:val="00872688"/>
    <w:rsid w:val="00872F16"/>
    <w:rsid w:val="0087549D"/>
    <w:rsid w:val="0087559C"/>
    <w:rsid w:val="00876AEA"/>
    <w:rsid w:val="008776B2"/>
    <w:rsid w:val="00877F45"/>
    <w:rsid w:val="00880991"/>
    <w:rsid w:val="00880EB9"/>
    <w:rsid w:val="00881011"/>
    <w:rsid w:val="00883160"/>
    <w:rsid w:val="0088402F"/>
    <w:rsid w:val="0088516D"/>
    <w:rsid w:val="008864D2"/>
    <w:rsid w:val="00887978"/>
    <w:rsid w:val="008900EF"/>
    <w:rsid w:val="00890257"/>
    <w:rsid w:val="008910E8"/>
    <w:rsid w:val="008922C2"/>
    <w:rsid w:val="008930DD"/>
    <w:rsid w:val="00893595"/>
    <w:rsid w:val="00893828"/>
    <w:rsid w:val="00893977"/>
    <w:rsid w:val="00894732"/>
    <w:rsid w:val="008A0A90"/>
    <w:rsid w:val="008A35A0"/>
    <w:rsid w:val="008A38F5"/>
    <w:rsid w:val="008A5496"/>
    <w:rsid w:val="008A5F83"/>
    <w:rsid w:val="008A6BF0"/>
    <w:rsid w:val="008A7A85"/>
    <w:rsid w:val="008A7AF1"/>
    <w:rsid w:val="008A7E68"/>
    <w:rsid w:val="008B3515"/>
    <w:rsid w:val="008B5CFC"/>
    <w:rsid w:val="008B71CC"/>
    <w:rsid w:val="008C038F"/>
    <w:rsid w:val="008C0929"/>
    <w:rsid w:val="008C1074"/>
    <w:rsid w:val="008C12F6"/>
    <w:rsid w:val="008C19CB"/>
    <w:rsid w:val="008C1FC5"/>
    <w:rsid w:val="008C20B6"/>
    <w:rsid w:val="008C2E73"/>
    <w:rsid w:val="008C390A"/>
    <w:rsid w:val="008C4F8B"/>
    <w:rsid w:val="008C69D4"/>
    <w:rsid w:val="008C6CED"/>
    <w:rsid w:val="008D2C72"/>
    <w:rsid w:val="008D3F57"/>
    <w:rsid w:val="008D4A99"/>
    <w:rsid w:val="008D64B6"/>
    <w:rsid w:val="008D6DCE"/>
    <w:rsid w:val="008E0A35"/>
    <w:rsid w:val="008E2643"/>
    <w:rsid w:val="008E2DEF"/>
    <w:rsid w:val="008E2EE9"/>
    <w:rsid w:val="008E496E"/>
    <w:rsid w:val="008E4B04"/>
    <w:rsid w:val="008E542F"/>
    <w:rsid w:val="008F18F5"/>
    <w:rsid w:val="008F2E05"/>
    <w:rsid w:val="008F477E"/>
    <w:rsid w:val="008F4A06"/>
    <w:rsid w:val="008F564F"/>
    <w:rsid w:val="00900053"/>
    <w:rsid w:val="009009BD"/>
    <w:rsid w:val="00900E40"/>
    <w:rsid w:val="009018F0"/>
    <w:rsid w:val="00903EB7"/>
    <w:rsid w:val="00904C9F"/>
    <w:rsid w:val="0090615C"/>
    <w:rsid w:val="0090686D"/>
    <w:rsid w:val="00911852"/>
    <w:rsid w:val="009147A7"/>
    <w:rsid w:val="009156BA"/>
    <w:rsid w:val="00916927"/>
    <w:rsid w:val="009231B3"/>
    <w:rsid w:val="00924E84"/>
    <w:rsid w:val="009255F3"/>
    <w:rsid w:val="00927F2F"/>
    <w:rsid w:val="009324B9"/>
    <w:rsid w:val="009338D0"/>
    <w:rsid w:val="00937F9F"/>
    <w:rsid w:val="00940DE5"/>
    <w:rsid w:val="00941AD5"/>
    <w:rsid w:val="00941B3C"/>
    <w:rsid w:val="00941FD4"/>
    <w:rsid w:val="009440C0"/>
    <w:rsid w:val="009452DB"/>
    <w:rsid w:val="009460A0"/>
    <w:rsid w:val="0094625A"/>
    <w:rsid w:val="00946779"/>
    <w:rsid w:val="009468C2"/>
    <w:rsid w:val="00946F05"/>
    <w:rsid w:val="00952443"/>
    <w:rsid w:val="009544AA"/>
    <w:rsid w:val="00954DCA"/>
    <w:rsid w:val="00960803"/>
    <w:rsid w:val="00961695"/>
    <w:rsid w:val="0096261F"/>
    <w:rsid w:val="009636DF"/>
    <w:rsid w:val="009649CF"/>
    <w:rsid w:val="0096641C"/>
    <w:rsid w:val="00966467"/>
    <w:rsid w:val="00967B20"/>
    <w:rsid w:val="0097024E"/>
    <w:rsid w:val="009718A6"/>
    <w:rsid w:val="0097199C"/>
    <w:rsid w:val="00973C12"/>
    <w:rsid w:val="00974305"/>
    <w:rsid w:val="009754F8"/>
    <w:rsid w:val="009804A8"/>
    <w:rsid w:val="00981CE2"/>
    <w:rsid w:val="009823C5"/>
    <w:rsid w:val="00982945"/>
    <w:rsid w:val="00982991"/>
    <w:rsid w:val="00982E45"/>
    <w:rsid w:val="00982F6E"/>
    <w:rsid w:val="009831CF"/>
    <w:rsid w:val="00983CE6"/>
    <w:rsid w:val="00984B5C"/>
    <w:rsid w:val="00984C3F"/>
    <w:rsid w:val="00985178"/>
    <w:rsid w:val="0099092F"/>
    <w:rsid w:val="00991F00"/>
    <w:rsid w:val="009921CB"/>
    <w:rsid w:val="009924DF"/>
    <w:rsid w:val="0099561C"/>
    <w:rsid w:val="0099631B"/>
    <w:rsid w:val="009970BD"/>
    <w:rsid w:val="009A3E23"/>
    <w:rsid w:val="009A44E7"/>
    <w:rsid w:val="009A4565"/>
    <w:rsid w:val="009A59BF"/>
    <w:rsid w:val="009A7441"/>
    <w:rsid w:val="009B57DF"/>
    <w:rsid w:val="009B6FB2"/>
    <w:rsid w:val="009B749D"/>
    <w:rsid w:val="009C0214"/>
    <w:rsid w:val="009C2589"/>
    <w:rsid w:val="009C284B"/>
    <w:rsid w:val="009C2CD2"/>
    <w:rsid w:val="009C3581"/>
    <w:rsid w:val="009C407F"/>
    <w:rsid w:val="009C79B1"/>
    <w:rsid w:val="009D0D03"/>
    <w:rsid w:val="009D16A8"/>
    <w:rsid w:val="009D34A1"/>
    <w:rsid w:val="009D35B5"/>
    <w:rsid w:val="009D3CC9"/>
    <w:rsid w:val="009D5C4C"/>
    <w:rsid w:val="009D5CC7"/>
    <w:rsid w:val="009D627D"/>
    <w:rsid w:val="009D6370"/>
    <w:rsid w:val="009E02D4"/>
    <w:rsid w:val="009E10A0"/>
    <w:rsid w:val="009E126D"/>
    <w:rsid w:val="009E16AB"/>
    <w:rsid w:val="009E290E"/>
    <w:rsid w:val="009E5173"/>
    <w:rsid w:val="009E5898"/>
    <w:rsid w:val="009E6301"/>
    <w:rsid w:val="009E677F"/>
    <w:rsid w:val="009E6C93"/>
    <w:rsid w:val="009E71ED"/>
    <w:rsid w:val="009E7423"/>
    <w:rsid w:val="009F15C3"/>
    <w:rsid w:val="009F16BA"/>
    <w:rsid w:val="009F4799"/>
    <w:rsid w:val="009F51BE"/>
    <w:rsid w:val="009F536C"/>
    <w:rsid w:val="009F5557"/>
    <w:rsid w:val="009F63C2"/>
    <w:rsid w:val="009F702B"/>
    <w:rsid w:val="00A0012A"/>
    <w:rsid w:val="00A0149E"/>
    <w:rsid w:val="00A0191B"/>
    <w:rsid w:val="00A0237A"/>
    <w:rsid w:val="00A027F0"/>
    <w:rsid w:val="00A05083"/>
    <w:rsid w:val="00A057AE"/>
    <w:rsid w:val="00A13D25"/>
    <w:rsid w:val="00A14E35"/>
    <w:rsid w:val="00A15E6F"/>
    <w:rsid w:val="00A160F2"/>
    <w:rsid w:val="00A17335"/>
    <w:rsid w:val="00A22FBF"/>
    <w:rsid w:val="00A236A1"/>
    <w:rsid w:val="00A24C17"/>
    <w:rsid w:val="00A278E6"/>
    <w:rsid w:val="00A27F72"/>
    <w:rsid w:val="00A31419"/>
    <w:rsid w:val="00A314CC"/>
    <w:rsid w:val="00A31F7D"/>
    <w:rsid w:val="00A335AC"/>
    <w:rsid w:val="00A33F8D"/>
    <w:rsid w:val="00A340D4"/>
    <w:rsid w:val="00A343C6"/>
    <w:rsid w:val="00A35B7C"/>
    <w:rsid w:val="00A4088B"/>
    <w:rsid w:val="00A41DDB"/>
    <w:rsid w:val="00A425A6"/>
    <w:rsid w:val="00A428FD"/>
    <w:rsid w:val="00A43241"/>
    <w:rsid w:val="00A45EF8"/>
    <w:rsid w:val="00A46F85"/>
    <w:rsid w:val="00A51C0F"/>
    <w:rsid w:val="00A541F2"/>
    <w:rsid w:val="00A5544C"/>
    <w:rsid w:val="00A55C32"/>
    <w:rsid w:val="00A56FD6"/>
    <w:rsid w:val="00A5704F"/>
    <w:rsid w:val="00A57F3A"/>
    <w:rsid w:val="00A60E19"/>
    <w:rsid w:val="00A61868"/>
    <w:rsid w:val="00A624DD"/>
    <w:rsid w:val="00A64099"/>
    <w:rsid w:val="00A64A84"/>
    <w:rsid w:val="00A71179"/>
    <w:rsid w:val="00A7203F"/>
    <w:rsid w:val="00A74685"/>
    <w:rsid w:val="00A759CB"/>
    <w:rsid w:val="00A759DC"/>
    <w:rsid w:val="00A76EB8"/>
    <w:rsid w:val="00A808C0"/>
    <w:rsid w:val="00A80D8D"/>
    <w:rsid w:val="00A81374"/>
    <w:rsid w:val="00A83B5D"/>
    <w:rsid w:val="00A8432D"/>
    <w:rsid w:val="00A863D2"/>
    <w:rsid w:val="00A86EAE"/>
    <w:rsid w:val="00A87C64"/>
    <w:rsid w:val="00A87D8D"/>
    <w:rsid w:val="00A90B79"/>
    <w:rsid w:val="00A91FCC"/>
    <w:rsid w:val="00A92104"/>
    <w:rsid w:val="00A92373"/>
    <w:rsid w:val="00A947B5"/>
    <w:rsid w:val="00A95863"/>
    <w:rsid w:val="00A9751E"/>
    <w:rsid w:val="00A97AEA"/>
    <w:rsid w:val="00A97CE8"/>
    <w:rsid w:val="00AA0037"/>
    <w:rsid w:val="00AA18B8"/>
    <w:rsid w:val="00AA2A0D"/>
    <w:rsid w:val="00AA34AA"/>
    <w:rsid w:val="00AA3541"/>
    <w:rsid w:val="00AA4C80"/>
    <w:rsid w:val="00AA7239"/>
    <w:rsid w:val="00AA780F"/>
    <w:rsid w:val="00AB0467"/>
    <w:rsid w:val="00AB249E"/>
    <w:rsid w:val="00AB4921"/>
    <w:rsid w:val="00AB5B1C"/>
    <w:rsid w:val="00AB64F4"/>
    <w:rsid w:val="00AB721B"/>
    <w:rsid w:val="00AC44C3"/>
    <w:rsid w:val="00AC46BD"/>
    <w:rsid w:val="00AC5DE2"/>
    <w:rsid w:val="00AC5F50"/>
    <w:rsid w:val="00AD00AD"/>
    <w:rsid w:val="00AD0364"/>
    <w:rsid w:val="00AD07C1"/>
    <w:rsid w:val="00AD07F2"/>
    <w:rsid w:val="00AD0EC6"/>
    <w:rsid w:val="00AD1734"/>
    <w:rsid w:val="00AD3112"/>
    <w:rsid w:val="00AD3C24"/>
    <w:rsid w:val="00AD4A75"/>
    <w:rsid w:val="00AD78AF"/>
    <w:rsid w:val="00AE0150"/>
    <w:rsid w:val="00AE01F0"/>
    <w:rsid w:val="00AE0E16"/>
    <w:rsid w:val="00AE120C"/>
    <w:rsid w:val="00AE15B6"/>
    <w:rsid w:val="00AE1DEB"/>
    <w:rsid w:val="00AE5583"/>
    <w:rsid w:val="00AE563E"/>
    <w:rsid w:val="00AE61F0"/>
    <w:rsid w:val="00AE7072"/>
    <w:rsid w:val="00AE7540"/>
    <w:rsid w:val="00AE7B71"/>
    <w:rsid w:val="00AF0064"/>
    <w:rsid w:val="00AF01E7"/>
    <w:rsid w:val="00AF1E38"/>
    <w:rsid w:val="00AF2384"/>
    <w:rsid w:val="00AF39D9"/>
    <w:rsid w:val="00AF3A3A"/>
    <w:rsid w:val="00AF4EAE"/>
    <w:rsid w:val="00AF5247"/>
    <w:rsid w:val="00AF55E7"/>
    <w:rsid w:val="00AF6E28"/>
    <w:rsid w:val="00B01A55"/>
    <w:rsid w:val="00B01FD1"/>
    <w:rsid w:val="00B0414D"/>
    <w:rsid w:val="00B071BA"/>
    <w:rsid w:val="00B101E9"/>
    <w:rsid w:val="00B10438"/>
    <w:rsid w:val="00B110DA"/>
    <w:rsid w:val="00B11466"/>
    <w:rsid w:val="00B11B3D"/>
    <w:rsid w:val="00B124D0"/>
    <w:rsid w:val="00B1398C"/>
    <w:rsid w:val="00B13CFC"/>
    <w:rsid w:val="00B13E1B"/>
    <w:rsid w:val="00B14F48"/>
    <w:rsid w:val="00B210C1"/>
    <w:rsid w:val="00B212B7"/>
    <w:rsid w:val="00B216FE"/>
    <w:rsid w:val="00B22759"/>
    <w:rsid w:val="00B23D30"/>
    <w:rsid w:val="00B23F39"/>
    <w:rsid w:val="00B24B72"/>
    <w:rsid w:val="00B2713A"/>
    <w:rsid w:val="00B275DC"/>
    <w:rsid w:val="00B31BC8"/>
    <w:rsid w:val="00B35D54"/>
    <w:rsid w:val="00B36F36"/>
    <w:rsid w:val="00B37669"/>
    <w:rsid w:val="00B40776"/>
    <w:rsid w:val="00B4277F"/>
    <w:rsid w:val="00B43D00"/>
    <w:rsid w:val="00B43FDA"/>
    <w:rsid w:val="00B44458"/>
    <w:rsid w:val="00B44E6B"/>
    <w:rsid w:val="00B45753"/>
    <w:rsid w:val="00B45B11"/>
    <w:rsid w:val="00B4611B"/>
    <w:rsid w:val="00B46DFC"/>
    <w:rsid w:val="00B47045"/>
    <w:rsid w:val="00B51920"/>
    <w:rsid w:val="00B52219"/>
    <w:rsid w:val="00B53D19"/>
    <w:rsid w:val="00B54468"/>
    <w:rsid w:val="00B555B2"/>
    <w:rsid w:val="00B5631E"/>
    <w:rsid w:val="00B60231"/>
    <w:rsid w:val="00B605A4"/>
    <w:rsid w:val="00B605B3"/>
    <w:rsid w:val="00B6304C"/>
    <w:rsid w:val="00B6365A"/>
    <w:rsid w:val="00B63D2E"/>
    <w:rsid w:val="00B6763D"/>
    <w:rsid w:val="00B6767A"/>
    <w:rsid w:val="00B707E6"/>
    <w:rsid w:val="00B7130F"/>
    <w:rsid w:val="00B72EFF"/>
    <w:rsid w:val="00B73911"/>
    <w:rsid w:val="00B774DB"/>
    <w:rsid w:val="00B80063"/>
    <w:rsid w:val="00B80BB3"/>
    <w:rsid w:val="00B80C85"/>
    <w:rsid w:val="00B81BB1"/>
    <w:rsid w:val="00B846DD"/>
    <w:rsid w:val="00B85850"/>
    <w:rsid w:val="00B863FC"/>
    <w:rsid w:val="00B86E22"/>
    <w:rsid w:val="00B86E63"/>
    <w:rsid w:val="00B90248"/>
    <w:rsid w:val="00B90B52"/>
    <w:rsid w:val="00B9176B"/>
    <w:rsid w:val="00B91C2B"/>
    <w:rsid w:val="00B92013"/>
    <w:rsid w:val="00B92376"/>
    <w:rsid w:val="00B924BE"/>
    <w:rsid w:val="00B95897"/>
    <w:rsid w:val="00B9592D"/>
    <w:rsid w:val="00B964BA"/>
    <w:rsid w:val="00B9695F"/>
    <w:rsid w:val="00B979F5"/>
    <w:rsid w:val="00BA014B"/>
    <w:rsid w:val="00BA0E39"/>
    <w:rsid w:val="00BA453F"/>
    <w:rsid w:val="00BA5A2F"/>
    <w:rsid w:val="00BA7E80"/>
    <w:rsid w:val="00BB05B7"/>
    <w:rsid w:val="00BB14C9"/>
    <w:rsid w:val="00BB2153"/>
    <w:rsid w:val="00BB28D0"/>
    <w:rsid w:val="00BB47FD"/>
    <w:rsid w:val="00BC0632"/>
    <w:rsid w:val="00BC2C3E"/>
    <w:rsid w:val="00BC4B79"/>
    <w:rsid w:val="00BC6132"/>
    <w:rsid w:val="00BD034B"/>
    <w:rsid w:val="00BD1BF8"/>
    <w:rsid w:val="00BD336E"/>
    <w:rsid w:val="00BD5253"/>
    <w:rsid w:val="00BD603D"/>
    <w:rsid w:val="00BD6590"/>
    <w:rsid w:val="00BE03E6"/>
    <w:rsid w:val="00BE17DA"/>
    <w:rsid w:val="00BE197C"/>
    <w:rsid w:val="00BE2F7D"/>
    <w:rsid w:val="00BE3536"/>
    <w:rsid w:val="00BE6083"/>
    <w:rsid w:val="00BE68E3"/>
    <w:rsid w:val="00BE7105"/>
    <w:rsid w:val="00BE7263"/>
    <w:rsid w:val="00BE7B30"/>
    <w:rsid w:val="00BE7B9F"/>
    <w:rsid w:val="00BF0263"/>
    <w:rsid w:val="00BF0A1C"/>
    <w:rsid w:val="00BF3658"/>
    <w:rsid w:val="00BF36F6"/>
    <w:rsid w:val="00BF4284"/>
    <w:rsid w:val="00BF6D3B"/>
    <w:rsid w:val="00BF7158"/>
    <w:rsid w:val="00C0090F"/>
    <w:rsid w:val="00C00A86"/>
    <w:rsid w:val="00C01BC3"/>
    <w:rsid w:val="00C030B1"/>
    <w:rsid w:val="00C057A2"/>
    <w:rsid w:val="00C076E7"/>
    <w:rsid w:val="00C07F25"/>
    <w:rsid w:val="00C104A9"/>
    <w:rsid w:val="00C11AAC"/>
    <w:rsid w:val="00C11F55"/>
    <w:rsid w:val="00C124F1"/>
    <w:rsid w:val="00C12750"/>
    <w:rsid w:val="00C13073"/>
    <w:rsid w:val="00C135EF"/>
    <w:rsid w:val="00C13C44"/>
    <w:rsid w:val="00C16D46"/>
    <w:rsid w:val="00C170DA"/>
    <w:rsid w:val="00C207B8"/>
    <w:rsid w:val="00C2243B"/>
    <w:rsid w:val="00C224DA"/>
    <w:rsid w:val="00C255B8"/>
    <w:rsid w:val="00C26306"/>
    <w:rsid w:val="00C30A04"/>
    <w:rsid w:val="00C31521"/>
    <w:rsid w:val="00C31FD3"/>
    <w:rsid w:val="00C3237B"/>
    <w:rsid w:val="00C3296F"/>
    <w:rsid w:val="00C33562"/>
    <w:rsid w:val="00C352FD"/>
    <w:rsid w:val="00C37CCF"/>
    <w:rsid w:val="00C40572"/>
    <w:rsid w:val="00C40FA6"/>
    <w:rsid w:val="00C4122E"/>
    <w:rsid w:val="00C426B9"/>
    <w:rsid w:val="00C44E9F"/>
    <w:rsid w:val="00C454C0"/>
    <w:rsid w:val="00C46028"/>
    <w:rsid w:val="00C46334"/>
    <w:rsid w:val="00C46A88"/>
    <w:rsid w:val="00C518DF"/>
    <w:rsid w:val="00C51BC3"/>
    <w:rsid w:val="00C520DC"/>
    <w:rsid w:val="00C525ED"/>
    <w:rsid w:val="00C54205"/>
    <w:rsid w:val="00C54BF6"/>
    <w:rsid w:val="00C54FDA"/>
    <w:rsid w:val="00C562AA"/>
    <w:rsid w:val="00C56A12"/>
    <w:rsid w:val="00C603BE"/>
    <w:rsid w:val="00C62527"/>
    <w:rsid w:val="00C62E3F"/>
    <w:rsid w:val="00C63371"/>
    <w:rsid w:val="00C6367F"/>
    <w:rsid w:val="00C63B75"/>
    <w:rsid w:val="00C647D8"/>
    <w:rsid w:val="00C657E2"/>
    <w:rsid w:val="00C65939"/>
    <w:rsid w:val="00C703B7"/>
    <w:rsid w:val="00C72667"/>
    <w:rsid w:val="00C728EA"/>
    <w:rsid w:val="00C72E66"/>
    <w:rsid w:val="00C76C35"/>
    <w:rsid w:val="00C775B6"/>
    <w:rsid w:val="00C77CDF"/>
    <w:rsid w:val="00C81997"/>
    <w:rsid w:val="00C81C3E"/>
    <w:rsid w:val="00C82379"/>
    <w:rsid w:val="00C82B38"/>
    <w:rsid w:val="00C84623"/>
    <w:rsid w:val="00C8469F"/>
    <w:rsid w:val="00C846AB"/>
    <w:rsid w:val="00C84F65"/>
    <w:rsid w:val="00C85850"/>
    <w:rsid w:val="00C863AB"/>
    <w:rsid w:val="00C87B7F"/>
    <w:rsid w:val="00C94FF5"/>
    <w:rsid w:val="00C95A26"/>
    <w:rsid w:val="00CA0C0C"/>
    <w:rsid w:val="00CA0EA2"/>
    <w:rsid w:val="00CA32B7"/>
    <w:rsid w:val="00CA3AB9"/>
    <w:rsid w:val="00CA4B65"/>
    <w:rsid w:val="00CA69B0"/>
    <w:rsid w:val="00CA6C5E"/>
    <w:rsid w:val="00CB00BD"/>
    <w:rsid w:val="00CB0426"/>
    <w:rsid w:val="00CB28D2"/>
    <w:rsid w:val="00CB2CBA"/>
    <w:rsid w:val="00CB2CCA"/>
    <w:rsid w:val="00CB2DB0"/>
    <w:rsid w:val="00CB54CC"/>
    <w:rsid w:val="00CB5C20"/>
    <w:rsid w:val="00CB7911"/>
    <w:rsid w:val="00CB7BE8"/>
    <w:rsid w:val="00CB7C19"/>
    <w:rsid w:val="00CB7CAD"/>
    <w:rsid w:val="00CC027E"/>
    <w:rsid w:val="00CC33FB"/>
    <w:rsid w:val="00CC35C9"/>
    <w:rsid w:val="00CC6393"/>
    <w:rsid w:val="00CC691F"/>
    <w:rsid w:val="00CC702C"/>
    <w:rsid w:val="00CC711A"/>
    <w:rsid w:val="00CD0656"/>
    <w:rsid w:val="00CD1238"/>
    <w:rsid w:val="00CD3185"/>
    <w:rsid w:val="00CD4D00"/>
    <w:rsid w:val="00CD5158"/>
    <w:rsid w:val="00CD51D1"/>
    <w:rsid w:val="00CD6CCE"/>
    <w:rsid w:val="00CE15D9"/>
    <w:rsid w:val="00CE1996"/>
    <w:rsid w:val="00CE26C1"/>
    <w:rsid w:val="00CE368F"/>
    <w:rsid w:val="00CE3789"/>
    <w:rsid w:val="00CE3D3C"/>
    <w:rsid w:val="00CE42F2"/>
    <w:rsid w:val="00CE4BBE"/>
    <w:rsid w:val="00CE4FFC"/>
    <w:rsid w:val="00CE56E8"/>
    <w:rsid w:val="00CF009A"/>
    <w:rsid w:val="00CF1A7B"/>
    <w:rsid w:val="00CF1C0E"/>
    <w:rsid w:val="00CF27CA"/>
    <w:rsid w:val="00CF6EEF"/>
    <w:rsid w:val="00D00467"/>
    <w:rsid w:val="00D01310"/>
    <w:rsid w:val="00D0135A"/>
    <w:rsid w:val="00D0150A"/>
    <w:rsid w:val="00D017D6"/>
    <w:rsid w:val="00D01FDB"/>
    <w:rsid w:val="00D024A3"/>
    <w:rsid w:val="00D03E23"/>
    <w:rsid w:val="00D0420D"/>
    <w:rsid w:val="00D05FE7"/>
    <w:rsid w:val="00D0677C"/>
    <w:rsid w:val="00D10213"/>
    <w:rsid w:val="00D1241F"/>
    <w:rsid w:val="00D1280B"/>
    <w:rsid w:val="00D1380C"/>
    <w:rsid w:val="00D155B9"/>
    <w:rsid w:val="00D1577C"/>
    <w:rsid w:val="00D1578F"/>
    <w:rsid w:val="00D1595C"/>
    <w:rsid w:val="00D15FF6"/>
    <w:rsid w:val="00D17943"/>
    <w:rsid w:val="00D2113C"/>
    <w:rsid w:val="00D21F04"/>
    <w:rsid w:val="00D22DBB"/>
    <w:rsid w:val="00D23923"/>
    <w:rsid w:val="00D2563A"/>
    <w:rsid w:val="00D25E26"/>
    <w:rsid w:val="00D262CF"/>
    <w:rsid w:val="00D31B8D"/>
    <w:rsid w:val="00D326B9"/>
    <w:rsid w:val="00D32DB0"/>
    <w:rsid w:val="00D33507"/>
    <w:rsid w:val="00D33EC4"/>
    <w:rsid w:val="00D34877"/>
    <w:rsid w:val="00D35B73"/>
    <w:rsid w:val="00D3713F"/>
    <w:rsid w:val="00D375FD"/>
    <w:rsid w:val="00D37E25"/>
    <w:rsid w:val="00D4030A"/>
    <w:rsid w:val="00D4079E"/>
    <w:rsid w:val="00D416DA"/>
    <w:rsid w:val="00D4384B"/>
    <w:rsid w:val="00D444CE"/>
    <w:rsid w:val="00D45820"/>
    <w:rsid w:val="00D45E39"/>
    <w:rsid w:val="00D466F0"/>
    <w:rsid w:val="00D46B16"/>
    <w:rsid w:val="00D47751"/>
    <w:rsid w:val="00D47B47"/>
    <w:rsid w:val="00D50189"/>
    <w:rsid w:val="00D510F0"/>
    <w:rsid w:val="00D513C9"/>
    <w:rsid w:val="00D5157F"/>
    <w:rsid w:val="00D52B07"/>
    <w:rsid w:val="00D53576"/>
    <w:rsid w:val="00D5441D"/>
    <w:rsid w:val="00D54E24"/>
    <w:rsid w:val="00D5517F"/>
    <w:rsid w:val="00D56A6E"/>
    <w:rsid w:val="00D57347"/>
    <w:rsid w:val="00D57D69"/>
    <w:rsid w:val="00D6204C"/>
    <w:rsid w:val="00D62333"/>
    <w:rsid w:val="00D6392B"/>
    <w:rsid w:val="00D64562"/>
    <w:rsid w:val="00D6670E"/>
    <w:rsid w:val="00D66FBF"/>
    <w:rsid w:val="00D67B1E"/>
    <w:rsid w:val="00D70364"/>
    <w:rsid w:val="00D70BC7"/>
    <w:rsid w:val="00D71742"/>
    <w:rsid w:val="00D71CC0"/>
    <w:rsid w:val="00D7246F"/>
    <w:rsid w:val="00D7260D"/>
    <w:rsid w:val="00D74862"/>
    <w:rsid w:val="00D76C7E"/>
    <w:rsid w:val="00D77DC7"/>
    <w:rsid w:val="00D82376"/>
    <w:rsid w:val="00D82FF3"/>
    <w:rsid w:val="00D84889"/>
    <w:rsid w:val="00D86119"/>
    <w:rsid w:val="00D877E6"/>
    <w:rsid w:val="00D901AE"/>
    <w:rsid w:val="00D95107"/>
    <w:rsid w:val="00D95E09"/>
    <w:rsid w:val="00D96746"/>
    <w:rsid w:val="00D96A76"/>
    <w:rsid w:val="00D979FB"/>
    <w:rsid w:val="00DA12D7"/>
    <w:rsid w:val="00DA1883"/>
    <w:rsid w:val="00DA3274"/>
    <w:rsid w:val="00DA42FE"/>
    <w:rsid w:val="00DA45B3"/>
    <w:rsid w:val="00DA5687"/>
    <w:rsid w:val="00DA5952"/>
    <w:rsid w:val="00DA6722"/>
    <w:rsid w:val="00DA720B"/>
    <w:rsid w:val="00DB362D"/>
    <w:rsid w:val="00DB4223"/>
    <w:rsid w:val="00DB473F"/>
    <w:rsid w:val="00DB48F1"/>
    <w:rsid w:val="00DB4A59"/>
    <w:rsid w:val="00DB50C2"/>
    <w:rsid w:val="00DB72C5"/>
    <w:rsid w:val="00DC06C0"/>
    <w:rsid w:val="00DC13BE"/>
    <w:rsid w:val="00DC1A49"/>
    <w:rsid w:val="00DC1A89"/>
    <w:rsid w:val="00DC30D4"/>
    <w:rsid w:val="00DC311F"/>
    <w:rsid w:val="00DC5E41"/>
    <w:rsid w:val="00DC76F4"/>
    <w:rsid w:val="00DC7F62"/>
    <w:rsid w:val="00DD012E"/>
    <w:rsid w:val="00DD0441"/>
    <w:rsid w:val="00DD0F18"/>
    <w:rsid w:val="00DD157F"/>
    <w:rsid w:val="00DD2B13"/>
    <w:rsid w:val="00DD2E74"/>
    <w:rsid w:val="00DD31F3"/>
    <w:rsid w:val="00DD4600"/>
    <w:rsid w:val="00DD51D5"/>
    <w:rsid w:val="00DD58FD"/>
    <w:rsid w:val="00DD5C99"/>
    <w:rsid w:val="00DD5D80"/>
    <w:rsid w:val="00DD5F52"/>
    <w:rsid w:val="00DD6992"/>
    <w:rsid w:val="00DD7603"/>
    <w:rsid w:val="00DE0279"/>
    <w:rsid w:val="00DE2168"/>
    <w:rsid w:val="00DE22CA"/>
    <w:rsid w:val="00DE244F"/>
    <w:rsid w:val="00DE2BBD"/>
    <w:rsid w:val="00DE364E"/>
    <w:rsid w:val="00DE3A40"/>
    <w:rsid w:val="00DE587A"/>
    <w:rsid w:val="00DE5BE9"/>
    <w:rsid w:val="00DE68EE"/>
    <w:rsid w:val="00DE6EAF"/>
    <w:rsid w:val="00DE751E"/>
    <w:rsid w:val="00DF15AC"/>
    <w:rsid w:val="00DF2D36"/>
    <w:rsid w:val="00DF5A3A"/>
    <w:rsid w:val="00DF5B41"/>
    <w:rsid w:val="00DF6CD4"/>
    <w:rsid w:val="00E002A2"/>
    <w:rsid w:val="00E0038E"/>
    <w:rsid w:val="00E00CAF"/>
    <w:rsid w:val="00E025E2"/>
    <w:rsid w:val="00E03380"/>
    <w:rsid w:val="00E03554"/>
    <w:rsid w:val="00E05AAB"/>
    <w:rsid w:val="00E05D8B"/>
    <w:rsid w:val="00E069B6"/>
    <w:rsid w:val="00E073C2"/>
    <w:rsid w:val="00E07680"/>
    <w:rsid w:val="00E113AF"/>
    <w:rsid w:val="00E118ED"/>
    <w:rsid w:val="00E12181"/>
    <w:rsid w:val="00E15896"/>
    <w:rsid w:val="00E15E1C"/>
    <w:rsid w:val="00E16309"/>
    <w:rsid w:val="00E16CDD"/>
    <w:rsid w:val="00E16EC4"/>
    <w:rsid w:val="00E1783E"/>
    <w:rsid w:val="00E209DA"/>
    <w:rsid w:val="00E2184D"/>
    <w:rsid w:val="00E21BA1"/>
    <w:rsid w:val="00E21EE4"/>
    <w:rsid w:val="00E23536"/>
    <w:rsid w:val="00E24024"/>
    <w:rsid w:val="00E259F1"/>
    <w:rsid w:val="00E313FE"/>
    <w:rsid w:val="00E35384"/>
    <w:rsid w:val="00E3624C"/>
    <w:rsid w:val="00E371C7"/>
    <w:rsid w:val="00E40B2A"/>
    <w:rsid w:val="00E4202E"/>
    <w:rsid w:val="00E4275F"/>
    <w:rsid w:val="00E42D1D"/>
    <w:rsid w:val="00E43CFB"/>
    <w:rsid w:val="00E43D0F"/>
    <w:rsid w:val="00E44D0C"/>
    <w:rsid w:val="00E45597"/>
    <w:rsid w:val="00E45A03"/>
    <w:rsid w:val="00E45A7F"/>
    <w:rsid w:val="00E4616A"/>
    <w:rsid w:val="00E47682"/>
    <w:rsid w:val="00E50D31"/>
    <w:rsid w:val="00E50F59"/>
    <w:rsid w:val="00E51429"/>
    <w:rsid w:val="00E51769"/>
    <w:rsid w:val="00E51783"/>
    <w:rsid w:val="00E51811"/>
    <w:rsid w:val="00E51F82"/>
    <w:rsid w:val="00E54484"/>
    <w:rsid w:val="00E54943"/>
    <w:rsid w:val="00E55358"/>
    <w:rsid w:val="00E56A25"/>
    <w:rsid w:val="00E579D3"/>
    <w:rsid w:val="00E57C14"/>
    <w:rsid w:val="00E57D01"/>
    <w:rsid w:val="00E60059"/>
    <w:rsid w:val="00E60892"/>
    <w:rsid w:val="00E60EB2"/>
    <w:rsid w:val="00E61A4A"/>
    <w:rsid w:val="00E63371"/>
    <w:rsid w:val="00E63713"/>
    <w:rsid w:val="00E63940"/>
    <w:rsid w:val="00E63AB9"/>
    <w:rsid w:val="00E63EFE"/>
    <w:rsid w:val="00E64670"/>
    <w:rsid w:val="00E6685E"/>
    <w:rsid w:val="00E67056"/>
    <w:rsid w:val="00E67397"/>
    <w:rsid w:val="00E71BA6"/>
    <w:rsid w:val="00E74290"/>
    <w:rsid w:val="00E74412"/>
    <w:rsid w:val="00E74E33"/>
    <w:rsid w:val="00E74EC7"/>
    <w:rsid w:val="00E76119"/>
    <w:rsid w:val="00E76D0A"/>
    <w:rsid w:val="00E77C81"/>
    <w:rsid w:val="00E77CB5"/>
    <w:rsid w:val="00E81A0E"/>
    <w:rsid w:val="00E8232A"/>
    <w:rsid w:val="00E82B6C"/>
    <w:rsid w:val="00E8335A"/>
    <w:rsid w:val="00E83644"/>
    <w:rsid w:val="00E83797"/>
    <w:rsid w:val="00E83BA4"/>
    <w:rsid w:val="00E84659"/>
    <w:rsid w:val="00E85080"/>
    <w:rsid w:val="00E86FB1"/>
    <w:rsid w:val="00E87549"/>
    <w:rsid w:val="00E8791B"/>
    <w:rsid w:val="00E90103"/>
    <w:rsid w:val="00E9097F"/>
    <w:rsid w:val="00E90F53"/>
    <w:rsid w:val="00E90FD4"/>
    <w:rsid w:val="00E91821"/>
    <w:rsid w:val="00E92849"/>
    <w:rsid w:val="00E92AEA"/>
    <w:rsid w:val="00E95010"/>
    <w:rsid w:val="00E950EA"/>
    <w:rsid w:val="00E9538B"/>
    <w:rsid w:val="00E96E48"/>
    <w:rsid w:val="00EA0435"/>
    <w:rsid w:val="00EA2192"/>
    <w:rsid w:val="00EA6467"/>
    <w:rsid w:val="00EB0D85"/>
    <w:rsid w:val="00EB1993"/>
    <w:rsid w:val="00EB2640"/>
    <w:rsid w:val="00EB2953"/>
    <w:rsid w:val="00EB3C36"/>
    <w:rsid w:val="00EB5012"/>
    <w:rsid w:val="00EC09C7"/>
    <w:rsid w:val="00EC1683"/>
    <w:rsid w:val="00EC29AE"/>
    <w:rsid w:val="00EC5113"/>
    <w:rsid w:val="00EC5A42"/>
    <w:rsid w:val="00EC5D52"/>
    <w:rsid w:val="00ED0534"/>
    <w:rsid w:val="00ED0D82"/>
    <w:rsid w:val="00ED0F18"/>
    <w:rsid w:val="00ED1052"/>
    <w:rsid w:val="00ED12D3"/>
    <w:rsid w:val="00ED3A76"/>
    <w:rsid w:val="00ED3D40"/>
    <w:rsid w:val="00ED47DE"/>
    <w:rsid w:val="00ED6FEA"/>
    <w:rsid w:val="00ED73E2"/>
    <w:rsid w:val="00ED7DCB"/>
    <w:rsid w:val="00EE0336"/>
    <w:rsid w:val="00EE5F2D"/>
    <w:rsid w:val="00EE7B82"/>
    <w:rsid w:val="00EF04A0"/>
    <w:rsid w:val="00EF27C0"/>
    <w:rsid w:val="00EF3281"/>
    <w:rsid w:val="00EF356C"/>
    <w:rsid w:val="00EF3D30"/>
    <w:rsid w:val="00EF5F83"/>
    <w:rsid w:val="00EF61A3"/>
    <w:rsid w:val="00EF61F6"/>
    <w:rsid w:val="00F01436"/>
    <w:rsid w:val="00F026F1"/>
    <w:rsid w:val="00F027DD"/>
    <w:rsid w:val="00F02BE1"/>
    <w:rsid w:val="00F041FC"/>
    <w:rsid w:val="00F058BB"/>
    <w:rsid w:val="00F05D2C"/>
    <w:rsid w:val="00F064B0"/>
    <w:rsid w:val="00F06C15"/>
    <w:rsid w:val="00F07C64"/>
    <w:rsid w:val="00F07DE6"/>
    <w:rsid w:val="00F07F06"/>
    <w:rsid w:val="00F1030B"/>
    <w:rsid w:val="00F12088"/>
    <w:rsid w:val="00F133D7"/>
    <w:rsid w:val="00F153B0"/>
    <w:rsid w:val="00F165AA"/>
    <w:rsid w:val="00F17C23"/>
    <w:rsid w:val="00F17C58"/>
    <w:rsid w:val="00F20341"/>
    <w:rsid w:val="00F21AFA"/>
    <w:rsid w:val="00F221AF"/>
    <w:rsid w:val="00F252C7"/>
    <w:rsid w:val="00F25972"/>
    <w:rsid w:val="00F276C0"/>
    <w:rsid w:val="00F2788A"/>
    <w:rsid w:val="00F30612"/>
    <w:rsid w:val="00F30E08"/>
    <w:rsid w:val="00F31B74"/>
    <w:rsid w:val="00F3237A"/>
    <w:rsid w:val="00F326BB"/>
    <w:rsid w:val="00F32B36"/>
    <w:rsid w:val="00F3380B"/>
    <w:rsid w:val="00F33ED7"/>
    <w:rsid w:val="00F36168"/>
    <w:rsid w:val="00F3702A"/>
    <w:rsid w:val="00F40C3B"/>
    <w:rsid w:val="00F41B50"/>
    <w:rsid w:val="00F41DEE"/>
    <w:rsid w:val="00F421FD"/>
    <w:rsid w:val="00F423C7"/>
    <w:rsid w:val="00F42663"/>
    <w:rsid w:val="00F44B60"/>
    <w:rsid w:val="00F45D8B"/>
    <w:rsid w:val="00F46711"/>
    <w:rsid w:val="00F468A1"/>
    <w:rsid w:val="00F47972"/>
    <w:rsid w:val="00F5052B"/>
    <w:rsid w:val="00F51584"/>
    <w:rsid w:val="00F522A0"/>
    <w:rsid w:val="00F527AB"/>
    <w:rsid w:val="00F52B7B"/>
    <w:rsid w:val="00F5517A"/>
    <w:rsid w:val="00F557F3"/>
    <w:rsid w:val="00F57390"/>
    <w:rsid w:val="00F61BE9"/>
    <w:rsid w:val="00F64CCE"/>
    <w:rsid w:val="00F64E25"/>
    <w:rsid w:val="00F65946"/>
    <w:rsid w:val="00F67F1D"/>
    <w:rsid w:val="00F706C8"/>
    <w:rsid w:val="00F70CE9"/>
    <w:rsid w:val="00F72692"/>
    <w:rsid w:val="00F72B8C"/>
    <w:rsid w:val="00F72F8D"/>
    <w:rsid w:val="00F7311A"/>
    <w:rsid w:val="00F737D7"/>
    <w:rsid w:val="00F74E37"/>
    <w:rsid w:val="00F7517B"/>
    <w:rsid w:val="00F75D24"/>
    <w:rsid w:val="00F7672A"/>
    <w:rsid w:val="00F7727E"/>
    <w:rsid w:val="00F80F41"/>
    <w:rsid w:val="00F81A88"/>
    <w:rsid w:val="00F826C6"/>
    <w:rsid w:val="00F83046"/>
    <w:rsid w:val="00F836B3"/>
    <w:rsid w:val="00F83EEA"/>
    <w:rsid w:val="00F847C6"/>
    <w:rsid w:val="00F859AC"/>
    <w:rsid w:val="00F87020"/>
    <w:rsid w:val="00F870E1"/>
    <w:rsid w:val="00F8732D"/>
    <w:rsid w:val="00F87651"/>
    <w:rsid w:val="00F87915"/>
    <w:rsid w:val="00F87949"/>
    <w:rsid w:val="00F90387"/>
    <w:rsid w:val="00F903A8"/>
    <w:rsid w:val="00F90783"/>
    <w:rsid w:val="00F91613"/>
    <w:rsid w:val="00F91675"/>
    <w:rsid w:val="00F91F60"/>
    <w:rsid w:val="00F91F72"/>
    <w:rsid w:val="00F93AC7"/>
    <w:rsid w:val="00F947A4"/>
    <w:rsid w:val="00F94B3C"/>
    <w:rsid w:val="00F94BC9"/>
    <w:rsid w:val="00F95941"/>
    <w:rsid w:val="00F95E7D"/>
    <w:rsid w:val="00F964A9"/>
    <w:rsid w:val="00F971AD"/>
    <w:rsid w:val="00F97A08"/>
    <w:rsid w:val="00FA008E"/>
    <w:rsid w:val="00FA32CD"/>
    <w:rsid w:val="00FA358E"/>
    <w:rsid w:val="00FA3936"/>
    <w:rsid w:val="00FA55BC"/>
    <w:rsid w:val="00FA5B51"/>
    <w:rsid w:val="00FA5CA7"/>
    <w:rsid w:val="00FA5EBD"/>
    <w:rsid w:val="00FA77F8"/>
    <w:rsid w:val="00FA7C7D"/>
    <w:rsid w:val="00FB3B68"/>
    <w:rsid w:val="00FB6145"/>
    <w:rsid w:val="00FB6E12"/>
    <w:rsid w:val="00FC018C"/>
    <w:rsid w:val="00FC09ED"/>
    <w:rsid w:val="00FC1515"/>
    <w:rsid w:val="00FC16BD"/>
    <w:rsid w:val="00FC3D39"/>
    <w:rsid w:val="00FC450D"/>
    <w:rsid w:val="00FC5000"/>
    <w:rsid w:val="00FC5913"/>
    <w:rsid w:val="00FC5BE9"/>
    <w:rsid w:val="00FC67B9"/>
    <w:rsid w:val="00FC6E52"/>
    <w:rsid w:val="00FD0B09"/>
    <w:rsid w:val="00FD0C72"/>
    <w:rsid w:val="00FD1103"/>
    <w:rsid w:val="00FD22B6"/>
    <w:rsid w:val="00FD39A4"/>
    <w:rsid w:val="00FD439E"/>
    <w:rsid w:val="00FD462A"/>
    <w:rsid w:val="00FD665E"/>
    <w:rsid w:val="00FD762E"/>
    <w:rsid w:val="00FD7694"/>
    <w:rsid w:val="00FE04A7"/>
    <w:rsid w:val="00FE0ECC"/>
    <w:rsid w:val="00FE1E14"/>
    <w:rsid w:val="00FE219B"/>
    <w:rsid w:val="00FE3239"/>
    <w:rsid w:val="00FE4492"/>
    <w:rsid w:val="00FE5E76"/>
    <w:rsid w:val="00FE7563"/>
    <w:rsid w:val="00FF198E"/>
    <w:rsid w:val="00FF309F"/>
    <w:rsid w:val="00FF3AA5"/>
    <w:rsid w:val="00FF4542"/>
    <w:rsid w:val="00FF582C"/>
    <w:rsid w:val="00FF5F03"/>
    <w:rsid w:val="00FF6EB4"/>
    <w:rsid w:val="00FF75C2"/>
    <w:rsid w:val="00FF7E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7221438"/>
  <w15:chartTrackingRefBased/>
  <w15:docId w15:val="{05A0A8A2-B83E-4545-B6FC-25F7BFAD9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index 2" w:uiPriority="99"/>
    <w:lsdException w:name="index 3" w:uiPriority="9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semiHidden="1" w:unhideWhenUsed="1" w:qFormat="1"/>
    <w:lsdException w:name="footnote reference" w:uiPriority="99"/>
    <w:lsdException w:name="endnote reference" w:uiPriority="99"/>
    <w:lsdException w:name="List Bullet" w:uiPriority="99"/>
    <w:lsdException w:name="Title" w:qFormat="1"/>
    <w:lsdException w:name="Subtitle" w:qFormat="1"/>
    <w:lsdException w:name="Hyperlink" w:uiPriority="99"/>
    <w:lsdException w:name="Followed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54851"/>
    <w:pPr>
      <w:spacing w:before="120" w:after="120"/>
      <w:jc w:val="both"/>
    </w:pPr>
    <w:rPr>
      <w:rFonts w:ascii="Minion Pro" w:hAnsi="Minion Pro"/>
    </w:rPr>
  </w:style>
  <w:style w:type="paragraph" w:styleId="Heading1">
    <w:name w:val="heading 1"/>
    <w:basedOn w:val="Normal"/>
    <w:next w:val="Textbody"/>
    <w:link w:val="Heading1Char"/>
    <w:qFormat/>
    <w:rsid w:val="00CE42F2"/>
    <w:pPr>
      <w:keepNext/>
      <w:pageBreakBefore/>
      <w:spacing w:before="960" w:after="480" w:line="320" w:lineRule="exact"/>
      <w:jc w:val="center"/>
      <w:outlineLvl w:val="0"/>
    </w:pPr>
    <w:rPr>
      <w:rFonts w:eastAsia="Proxima Nova" w:cs="Proxima Nova"/>
      <w:spacing w:val="2"/>
      <w:sz w:val="28"/>
      <w:szCs w:val="52"/>
      <w:lang w:val="en"/>
    </w:rPr>
  </w:style>
  <w:style w:type="paragraph" w:styleId="Heading2">
    <w:name w:val="heading 2"/>
    <w:basedOn w:val="Normal"/>
    <w:next w:val="Textbody"/>
    <w:link w:val="Heading2Char"/>
    <w:autoRedefine/>
    <w:qFormat/>
    <w:rsid w:val="00D33507"/>
    <w:pPr>
      <w:keepNext/>
      <w:tabs>
        <w:tab w:val="left" w:pos="2250"/>
        <w:tab w:val="center" w:pos="3420"/>
      </w:tabs>
      <w:spacing w:before="480" w:after="360" w:line="280" w:lineRule="exact"/>
      <w:jc w:val="center"/>
      <w:outlineLvl w:val="1"/>
    </w:pPr>
    <w:rPr>
      <w:rFonts w:eastAsia="Proxima Nova" w:cs="Proxima Nova"/>
      <w:spacing w:val="2"/>
      <w:sz w:val="24"/>
      <w:szCs w:val="40"/>
      <w:lang w:val="en"/>
      <w14:ligatures w14:val="standardContextual"/>
      <w14:numForm w14:val="oldStyle"/>
    </w:rPr>
  </w:style>
  <w:style w:type="paragraph" w:styleId="Heading3">
    <w:name w:val="heading 3"/>
    <w:basedOn w:val="Normal"/>
    <w:next w:val="Textbody"/>
    <w:link w:val="Heading3Char"/>
    <w:qFormat/>
    <w:rsid w:val="00BD5253"/>
    <w:pPr>
      <w:keepNext/>
      <w:spacing w:before="240" w:line="240" w:lineRule="exact"/>
      <w:jc w:val="left"/>
      <w:outlineLvl w:val="2"/>
    </w:pPr>
    <w:rPr>
      <w:rFonts w:eastAsia="Proxima Nova" w:cs="Proxima Nova"/>
      <w:i/>
      <w:spacing w:val="2"/>
      <w:szCs w:val="32"/>
      <w:lang w:val="en"/>
    </w:rPr>
  </w:style>
  <w:style w:type="paragraph" w:styleId="Heading4">
    <w:name w:val="heading 4"/>
    <w:basedOn w:val="Heading3"/>
    <w:next w:val="BodyText"/>
    <w:link w:val="Heading4Char"/>
    <w:qFormat/>
    <w:rsid w:val="004F37DA"/>
    <w:pPr>
      <w:outlineLvl w:val="3"/>
    </w:pPr>
  </w:style>
  <w:style w:type="paragraph" w:styleId="Heading5">
    <w:name w:val="heading 5"/>
    <w:basedOn w:val="Normal"/>
    <w:next w:val="Normal"/>
    <w:link w:val="Heading5Char"/>
    <w:qFormat/>
    <w:rsid w:val="00D05FE7"/>
    <w:pPr>
      <w:autoSpaceDE w:val="0"/>
      <w:autoSpaceDN w:val="0"/>
      <w:jc w:val="left"/>
      <w:outlineLvl w:val="4"/>
    </w:pPr>
    <w:rPr>
      <w:rFonts w:cs="Arial"/>
      <w:i/>
      <w:iCs/>
      <w:sz w:val="18"/>
      <w:szCs w:val="18"/>
      <w14:ligatures w14:val="standardContextual"/>
      <w14:numForm w14:val="oldStyle"/>
      <w14:cntxtAlts/>
    </w:rPr>
  </w:style>
  <w:style w:type="paragraph" w:styleId="Heading6">
    <w:name w:val="heading 6"/>
    <w:basedOn w:val="Normal"/>
    <w:next w:val="Normal"/>
    <w:link w:val="Heading6Char"/>
    <w:qFormat/>
    <w:rsid w:val="00A343C6"/>
    <w:pPr>
      <w:autoSpaceDE w:val="0"/>
      <w:autoSpaceDN w:val="0"/>
      <w:spacing w:before="240" w:after="60"/>
      <w:jc w:val="left"/>
      <w:outlineLvl w:val="5"/>
    </w:pPr>
    <w:rPr>
      <w:i/>
      <w:iCs/>
      <w:sz w:val="18"/>
      <w:szCs w:val="22"/>
      <w14:ligatures w14:val="standardContextual"/>
      <w14:numForm w14:val="oldStyle"/>
      <w14:cntxtAlts/>
    </w:rPr>
  </w:style>
  <w:style w:type="paragraph" w:styleId="Heading7">
    <w:name w:val="heading 7"/>
    <w:basedOn w:val="Normal"/>
    <w:next w:val="Normal"/>
    <w:link w:val="Heading7Char"/>
    <w:unhideWhenUsed/>
    <w:qFormat/>
    <w:rsid w:val="00144335"/>
    <w:pPr>
      <w:spacing w:before="240" w:after="60"/>
      <w:outlineLvl w:val="6"/>
    </w:pPr>
    <w:rPr>
      <w:rFonts w:ascii="Calibri" w:hAnsi="Calibri"/>
      <w:szCs w:val="24"/>
      <w:lang w:val="x-none" w:eastAsia="x-none"/>
    </w:rPr>
  </w:style>
  <w:style w:type="paragraph" w:styleId="Heading8">
    <w:name w:val="heading 8"/>
    <w:basedOn w:val="Normal"/>
    <w:next w:val="Normal"/>
    <w:link w:val="Heading8Char"/>
    <w:qFormat/>
    <w:rsid w:val="00AE61F0"/>
    <w:pPr>
      <w:autoSpaceDE w:val="0"/>
      <w:autoSpaceDN w:val="0"/>
      <w:spacing w:before="240" w:after="60"/>
      <w:jc w:val="left"/>
      <w:outlineLvl w:val="7"/>
    </w:pPr>
    <w:rPr>
      <w:rFonts w:ascii="Arial" w:hAnsi="Arial" w:cs="Arial"/>
      <w:i/>
      <w:iCs/>
      <w14:ligatures w14:val="standardContextual"/>
      <w14:numForm w14:val="oldStyle"/>
      <w14:cntxtAlts/>
    </w:rPr>
  </w:style>
  <w:style w:type="paragraph" w:styleId="Heading9">
    <w:name w:val="heading 9"/>
    <w:basedOn w:val="Normal"/>
    <w:next w:val="Normal"/>
    <w:link w:val="Heading9Char"/>
    <w:qFormat/>
    <w:rsid w:val="00AE61F0"/>
    <w:pPr>
      <w:autoSpaceDE w:val="0"/>
      <w:autoSpaceDN w:val="0"/>
      <w:spacing w:before="240"/>
      <w:jc w:val="left"/>
      <w:outlineLvl w:val="8"/>
    </w:pPr>
    <w:rPr>
      <w:rFonts w:ascii="Arial" w:hAnsi="Arial" w:cs="Arial"/>
      <w:b/>
      <w:bCs/>
      <w14:ligatures w14:val="standardContextual"/>
      <w14:numForm w14:val="oldStyle"/>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rsid w:val="00F87949"/>
    <w:pPr>
      <w:keepLines/>
      <w:widowControl w:val="0"/>
      <w:spacing w:after="150"/>
      <w:ind w:left="1138"/>
    </w:pPr>
    <w:rPr>
      <w:rFonts w:ascii="Minion Pro" w:hAnsi="Minion Pro"/>
      <w:sz w:val="22"/>
      <w:lang w:val="en-AU"/>
      <w14:ligatures w14:val="standardContextual"/>
      <w14:numForm w14:val="oldStyle"/>
    </w:rPr>
  </w:style>
  <w:style w:type="paragraph" w:styleId="BodyTextIndent">
    <w:name w:val="Body Text Indent"/>
    <w:basedOn w:val="BodyText"/>
    <w:pPr>
      <w:ind w:left="1701"/>
    </w:pPr>
  </w:style>
  <w:style w:type="paragraph" w:styleId="Title">
    <w:name w:val="Title"/>
    <w:link w:val="TitleChar"/>
    <w:qFormat/>
    <w:rsid w:val="005F650C"/>
    <w:pPr>
      <w:shd w:val="clear" w:color="auto" w:fill="FFFFFF" w:themeFill="background1"/>
      <w:spacing w:before="1440"/>
      <w:jc w:val="center"/>
    </w:pPr>
    <w:rPr>
      <w:rFonts w:ascii="Minion Pro" w:hAnsi="Minion Pro"/>
      <w:b/>
      <w:color w:val="000000" w:themeColor="text1"/>
      <w:kern w:val="28"/>
      <w:sz w:val="28"/>
      <w:lang w:val="en-AU"/>
    </w:rPr>
  </w:style>
  <w:style w:type="paragraph" w:customStyle="1" w:styleId="CoverSubHeads">
    <w:name w:val="Cover SubHeads"/>
    <w:basedOn w:val="Title"/>
    <w:pPr>
      <w:shd w:val="clear" w:color="auto" w:fill="auto"/>
      <w:spacing w:before="567"/>
      <w:jc w:val="left"/>
    </w:pPr>
    <w:rPr>
      <w:sz w:val="32"/>
    </w:rPr>
  </w:style>
  <w:style w:type="paragraph" w:styleId="Header">
    <w:name w:val="header"/>
    <w:basedOn w:val="Normal"/>
    <w:link w:val="HeaderChar"/>
    <w:uiPriority w:val="99"/>
    <w:rsid w:val="00CC33FB"/>
    <w:pPr>
      <w:tabs>
        <w:tab w:val="left" w:pos="4253"/>
        <w:tab w:val="right" w:pos="8505"/>
      </w:tabs>
      <w:overflowPunct w:val="0"/>
      <w:autoSpaceDE w:val="0"/>
      <w:autoSpaceDN w:val="0"/>
      <w:adjustRightInd w:val="0"/>
      <w:textAlignment w:val="baseline"/>
    </w:pPr>
    <w:rPr>
      <w:sz w:val="16"/>
      <w:lang w:val="en-AU" w:eastAsia="x-none"/>
    </w:rPr>
  </w:style>
  <w:style w:type="paragraph" w:styleId="Footer">
    <w:name w:val="footer"/>
    <w:basedOn w:val="Header"/>
    <w:link w:val="FooterChar"/>
    <w:uiPriority w:val="99"/>
    <w:rsid w:val="00C255B8"/>
    <w:rPr>
      <w:rFonts w:eastAsia="Arial Unicode MS"/>
      <w:b/>
    </w:rPr>
  </w:style>
  <w:style w:type="paragraph" w:styleId="Index1">
    <w:name w:val="index 1"/>
    <w:basedOn w:val="Normal"/>
    <w:next w:val="Normal"/>
    <w:uiPriority w:val="99"/>
    <w:semiHidden/>
    <w:pPr>
      <w:tabs>
        <w:tab w:val="right" w:leader="dot" w:pos="3856"/>
      </w:tabs>
      <w:overflowPunct w:val="0"/>
      <w:autoSpaceDE w:val="0"/>
      <w:autoSpaceDN w:val="0"/>
      <w:adjustRightInd w:val="0"/>
      <w:spacing w:after="100"/>
      <w:textAlignment w:val="baseline"/>
    </w:pPr>
    <w:rPr>
      <w:lang w:val="en-AU"/>
    </w:rPr>
  </w:style>
  <w:style w:type="paragraph" w:styleId="Index2">
    <w:name w:val="index 2"/>
    <w:basedOn w:val="Index1"/>
    <w:next w:val="Normal"/>
    <w:uiPriority w:val="99"/>
    <w:semiHidden/>
    <w:pPr>
      <w:tabs>
        <w:tab w:val="clear" w:pos="3856"/>
        <w:tab w:val="right" w:leader="dot" w:pos="3881"/>
      </w:tabs>
      <w:spacing w:after="40"/>
      <w:ind w:left="396" w:hanging="198"/>
    </w:pPr>
  </w:style>
  <w:style w:type="paragraph" w:styleId="ListBullet">
    <w:name w:val="List Bullet"/>
    <w:basedOn w:val="BodyText"/>
    <w:uiPriority w:val="99"/>
    <w:pPr>
      <w:keepNext/>
      <w:numPr>
        <w:numId w:val="2"/>
      </w:numPr>
      <w:spacing w:after="100"/>
    </w:pPr>
  </w:style>
  <w:style w:type="paragraph" w:styleId="ListBullet2">
    <w:name w:val="List Bullet 2"/>
    <w:basedOn w:val="ListBullet"/>
    <w:pPr>
      <w:numPr>
        <w:ilvl w:val="1"/>
      </w:numPr>
      <w:tabs>
        <w:tab w:val="left" w:pos="1827"/>
      </w:tabs>
    </w:pPr>
  </w:style>
  <w:style w:type="paragraph" w:styleId="ListBullet3">
    <w:name w:val="List Bullet 3"/>
    <w:basedOn w:val="Normal"/>
    <w:pPr>
      <w:numPr>
        <w:ilvl w:val="2"/>
        <w:numId w:val="2"/>
      </w:numPr>
      <w:spacing w:after="100"/>
    </w:pPr>
    <w:rPr>
      <w:lang w:val="en-AU"/>
    </w:rPr>
  </w:style>
  <w:style w:type="paragraph" w:styleId="ListNumber">
    <w:name w:val="List Number"/>
    <w:basedOn w:val="BodyText"/>
    <w:pPr>
      <w:numPr>
        <w:numId w:val="3"/>
      </w:numPr>
      <w:spacing w:after="100"/>
    </w:pPr>
  </w:style>
  <w:style w:type="paragraph" w:styleId="ListNumber2">
    <w:name w:val="List Number 2"/>
    <w:basedOn w:val="ListNumber"/>
    <w:pPr>
      <w:numPr>
        <w:ilvl w:val="1"/>
      </w:numPr>
      <w:spacing w:after="60"/>
    </w:pPr>
  </w:style>
  <w:style w:type="paragraph" w:styleId="ListNumber3">
    <w:name w:val="List Number 3"/>
    <w:basedOn w:val="ListNumber2"/>
    <w:pPr>
      <w:numPr>
        <w:ilvl w:val="2"/>
      </w:numPr>
    </w:pPr>
  </w:style>
  <w:style w:type="character" w:styleId="PageNumber">
    <w:name w:val="page number"/>
    <w:rPr>
      <w:b/>
      <w:sz w:val="24"/>
      <w:szCs w:val="24"/>
    </w:rPr>
  </w:style>
  <w:style w:type="paragraph" w:customStyle="1" w:styleId="Picture">
    <w:name w:val="Picture"/>
    <w:basedOn w:val="Normal"/>
    <w:next w:val="Normal"/>
    <w:pPr>
      <w:spacing w:after="200"/>
      <w:ind w:left="1134"/>
    </w:pPr>
    <w:rPr>
      <w:lang w:val="en-AU"/>
    </w:rPr>
  </w:style>
  <w:style w:type="paragraph" w:customStyle="1" w:styleId="PictureWide">
    <w:name w:val="Picture Wide"/>
    <w:basedOn w:val="Picture"/>
    <w:next w:val="BodyText"/>
    <w:pPr>
      <w:ind w:left="0"/>
      <w:jc w:val="center"/>
    </w:pPr>
  </w:style>
  <w:style w:type="paragraph" w:styleId="Subtitle">
    <w:name w:val="Subtitle"/>
    <w:basedOn w:val="Title"/>
    <w:link w:val="SubtitleChar"/>
    <w:qFormat/>
    <w:pPr>
      <w:shd w:val="clear" w:color="auto" w:fill="auto"/>
      <w:spacing w:before="1134" w:after="60"/>
    </w:pPr>
    <w:rPr>
      <w:b w:val="0"/>
      <w:sz w:val="44"/>
    </w:rPr>
  </w:style>
  <w:style w:type="paragraph" w:customStyle="1" w:styleId="TableBodyText">
    <w:name w:val="Table Body Text"/>
    <w:basedOn w:val="BodyText"/>
    <w:pPr>
      <w:spacing w:before="60" w:after="60"/>
      <w:ind w:left="0"/>
    </w:pPr>
    <w:rPr>
      <w:sz w:val="20"/>
    </w:rPr>
  </w:style>
  <w:style w:type="paragraph" w:customStyle="1" w:styleId="TableBullet">
    <w:name w:val="Table Bullet"/>
    <w:basedOn w:val="Normal"/>
    <w:pPr>
      <w:numPr>
        <w:numId w:val="1"/>
      </w:numPr>
      <w:tabs>
        <w:tab w:val="clear" w:pos="360"/>
        <w:tab w:val="num" w:pos="2208"/>
      </w:tabs>
      <w:spacing w:before="60" w:after="200"/>
      <w:ind w:left="2208" w:hanging="360"/>
    </w:pPr>
    <w:rPr>
      <w:rFonts w:ascii="ClassGarmnd BT" w:hAnsi="ClassGarmnd BT"/>
      <w:color w:val="000000"/>
      <w:sz w:val="22"/>
      <w:lang w:val="en-AU"/>
    </w:rPr>
  </w:style>
  <w:style w:type="paragraph" w:customStyle="1" w:styleId="TableHeading">
    <w:name w:val="Table Heading"/>
    <w:basedOn w:val="Heading4"/>
    <w:pPr>
      <w:spacing w:before="80" w:after="80"/>
      <w:ind w:left="79"/>
      <w:outlineLvl w:val="9"/>
    </w:pPr>
  </w:style>
  <w:style w:type="paragraph" w:styleId="TOC1">
    <w:name w:val="toc 1"/>
    <w:next w:val="Normal"/>
    <w:uiPriority w:val="39"/>
    <w:rsid w:val="00FB6145"/>
    <w:pPr>
      <w:tabs>
        <w:tab w:val="right" w:leader="dot" w:pos="6120"/>
      </w:tabs>
    </w:pPr>
    <w:rPr>
      <w:rFonts w:ascii="Minion Pro" w:hAnsi="Minion Pro"/>
      <w:sz w:val="18"/>
      <w:lang w:val="en-AU"/>
      <w14:ligatures w14:val="standardContextual"/>
      <w14:numForm w14:val="oldStyle"/>
    </w:rPr>
  </w:style>
  <w:style w:type="paragraph" w:styleId="TOC2">
    <w:name w:val="toc 2"/>
    <w:basedOn w:val="TOC1"/>
    <w:next w:val="Normal"/>
    <w:uiPriority w:val="39"/>
    <w:rsid w:val="00FB6145"/>
    <w:pPr>
      <w:ind w:left="720" w:hanging="432"/>
    </w:pPr>
  </w:style>
  <w:style w:type="paragraph" w:styleId="TOC3">
    <w:name w:val="toc 3"/>
    <w:basedOn w:val="TOC2"/>
    <w:next w:val="Normal"/>
    <w:uiPriority w:val="39"/>
    <w:pPr>
      <w:ind w:left="992"/>
    </w:pPr>
    <w:rPr>
      <w:rFonts w:ascii="Book Antiqua" w:hAnsi="Book Antiqua"/>
      <w:b/>
    </w:rPr>
  </w:style>
  <w:style w:type="paragraph" w:styleId="TOC4">
    <w:name w:val="toc 4"/>
    <w:basedOn w:val="Normal"/>
    <w:next w:val="Normal"/>
    <w:uiPriority w:val="39"/>
    <w:pPr>
      <w:tabs>
        <w:tab w:val="right" w:pos="9259"/>
      </w:tabs>
      <w:spacing w:after="200"/>
      <w:ind w:left="440"/>
    </w:pPr>
    <w:rPr>
      <w:lang w:val="en-AU"/>
    </w:rPr>
  </w:style>
  <w:style w:type="character" w:styleId="Hyperlink">
    <w:name w:val="Hyperlink"/>
    <w:uiPriority w:val="99"/>
    <w:rsid w:val="00C728EA"/>
    <w:rPr>
      <w:b w:val="0"/>
      <w:color w:val="auto"/>
      <w:u w:val="none"/>
    </w:rPr>
  </w:style>
  <w:style w:type="paragraph" w:styleId="NormalWeb">
    <w:name w:val="Normal (Web)"/>
    <w:basedOn w:val="Normal"/>
    <w:pPr>
      <w:spacing w:before="100" w:after="100"/>
    </w:pPr>
    <w:rPr>
      <w:rFonts w:ascii="Arial" w:eastAsia="Arial Unicode MS" w:hAnsi="Arial"/>
      <w:lang w:val="en-AU"/>
    </w:rPr>
  </w:style>
  <w:style w:type="character" w:customStyle="1" w:styleId="Heading7Char">
    <w:name w:val="Heading 7 Char"/>
    <w:link w:val="Heading7"/>
    <w:rsid w:val="00144335"/>
    <w:rPr>
      <w:rFonts w:ascii="Calibri" w:eastAsia="Times New Roman" w:hAnsi="Calibri" w:cs="Times New Roman"/>
      <w:sz w:val="24"/>
      <w:szCs w:val="24"/>
    </w:rPr>
  </w:style>
  <w:style w:type="paragraph" w:styleId="BodyTextFirstIndent">
    <w:name w:val="Body Text First Indent"/>
    <w:basedOn w:val="BodyText"/>
    <w:link w:val="BodyTextFirstIndentChar"/>
    <w:rsid w:val="00144335"/>
    <w:pPr>
      <w:spacing w:after="120"/>
      <w:ind w:left="0" w:firstLine="210"/>
    </w:pPr>
    <w:rPr>
      <w:rFonts w:ascii="Book Antiqua" w:hAnsi="Book Antiqua"/>
    </w:rPr>
  </w:style>
  <w:style w:type="character" w:customStyle="1" w:styleId="BodyTextChar">
    <w:name w:val="Body Text Char"/>
    <w:link w:val="BodyText"/>
    <w:rsid w:val="00F87949"/>
    <w:rPr>
      <w:rFonts w:ascii="Minion Pro" w:hAnsi="Minion Pro"/>
      <w:sz w:val="22"/>
      <w:lang w:val="en-AU"/>
      <w14:ligatures w14:val="standardContextual"/>
      <w14:numForm w14:val="oldStyle"/>
    </w:rPr>
  </w:style>
  <w:style w:type="character" w:customStyle="1" w:styleId="BodyTextFirstIndentChar">
    <w:name w:val="Body Text First Indent Char"/>
    <w:link w:val="BodyTextFirstIndent"/>
    <w:rsid w:val="00144335"/>
    <w:rPr>
      <w:rFonts w:ascii="Book Antiqua" w:hAnsi="Book Antiqua"/>
      <w:sz w:val="24"/>
      <w:lang w:val="en-AU"/>
    </w:rPr>
  </w:style>
  <w:style w:type="paragraph" w:customStyle="1" w:styleId="BlockQuotation">
    <w:name w:val="Block Quotation"/>
    <w:basedOn w:val="BodyText"/>
    <w:rsid w:val="00144335"/>
    <w:pPr>
      <w:widowControl/>
      <w:pBdr>
        <w:top w:val="single" w:sz="6" w:space="14" w:color="808080"/>
        <w:left w:val="single" w:sz="6" w:space="14" w:color="808080"/>
        <w:bottom w:val="single" w:sz="6" w:space="14" w:color="808080"/>
        <w:right w:val="single" w:sz="6" w:space="14" w:color="808080"/>
      </w:pBdr>
      <w:spacing w:before="240" w:after="240"/>
      <w:ind w:left="720" w:right="720"/>
      <w:jc w:val="both"/>
    </w:pPr>
    <w:rPr>
      <w:rFonts w:ascii="Arial" w:hAnsi="Arial"/>
      <w:i/>
      <w:szCs w:val="22"/>
      <w:lang w:val="en-US"/>
    </w:rPr>
  </w:style>
  <w:style w:type="paragraph" w:styleId="Caption">
    <w:name w:val="caption"/>
    <w:basedOn w:val="Normal"/>
    <w:next w:val="BodyText"/>
    <w:qFormat/>
    <w:rsid w:val="00144335"/>
    <w:pPr>
      <w:keepNext/>
      <w:spacing w:before="60" w:after="240" w:line="200" w:lineRule="atLeast"/>
      <w:ind w:left="1920" w:hanging="120"/>
    </w:pPr>
    <w:rPr>
      <w:rFonts w:ascii="Garamond" w:hAnsi="Garamond"/>
      <w:i/>
      <w:spacing w:val="5"/>
    </w:rPr>
  </w:style>
  <w:style w:type="paragraph" w:customStyle="1" w:styleId="HeadingBase">
    <w:name w:val="Heading Base"/>
    <w:basedOn w:val="BodyText"/>
    <w:next w:val="BodyText"/>
    <w:link w:val="HeadingBaseChar"/>
    <w:rsid w:val="00144335"/>
    <w:pPr>
      <w:keepNext/>
      <w:widowControl/>
      <w:spacing w:after="0"/>
      <w:ind w:left="0"/>
    </w:pPr>
    <w:rPr>
      <w:rFonts w:ascii="Arial" w:hAnsi="Arial"/>
      <w:kern w:val="20"/>
      <w:szCs w:val="24"/>
      <w:lang w:val="x-none"/>
    </w:rPr>
  </w:style>
  <w:style w:type="paragraph" w:customStyle="1" w:styleId="FootnoteBase">
    <w:name w:val="Footnote Base"/>
    <w:basedOn w:val="BodyText"/>
    <w:rsid w:val="007D7724"/>
    <w:pPr>
      <w:widowControl/>
      <w:spacing w:after="0"/>
      <w:ind w:left="0"/>
      <w:jc w:val="both"/>
    </w:pPr>
    <w:rPr>
      <w:sz w:val="18"/>
      <w:szCs w:val="24"/>
      <w:lang w:val="en-US"/>
    </w:rPr>
  </w:style>
  <w:style w:type="character" w:styleId="FootnoteReference">
    <w:name w:val="footnote reference"/>
    <w:uiPriority w:val="99"/>
    <w:rsid w:val="006B4CAB"/>
    <w:rPr>
      <w:vertAlign w:val="superscript"/>
      <w14:ligatures w14:val="standardContextual"/>
      <w14:numForm w14:val="oldStyle"/>
    </w:rPr>
  </w:style>
  <w:style w:type="paragraph" w:styleId="FootnoteText">
    <w:name w:val="footnote text"/>
    <w:basedOn w:val="FootnoteBase"/>
    <w:link w:val="FootnoteTextChar"/>
    <w:uiPriority w:val="99"/>
    <w:rsid w:val="007D7724"/>
    <w:rPr>
      <w:lang w:val="x-none"/>
    </w:rPr>
  </w:style>
  <w:style w:type="character" w:customStyle="1" w:styleId="FootnoteTextChar">
    <w:name w:val="Footnote Text Char"/>
    <w:link w:val="FootnoteText"/>
    <w:uiPriority w:val="99"/>
    <w:rsid w:val="007D7724"/>
    <w:rPr>
      <w:rFonts w:ascii="Minion Pro" w:hAnsi="Minion Pro"/>
      <w:sz w:val="18"/>
      <w:szCs w:val="24"/>
      <w:lang w:val="x-none"/>
      <w14:ligatures w14:val="standardContextual"/>
      <w14:numForm w14:val="oldStyle"/>
    </w:rPr>
  </w:style>
  <w:style w:type="paragraph" w:customStyle="1" w:styleId="SubtitleCover">
    <w:name w:val="Subtitle Cover"/>
    <w:basedOn w:val="TitleCover"/>
    <w:next w:val="BodyText"/>
    <w:rsid w:val="00144335"/>
    <w:pPr>
      <w:pBdr>
        <w:top w:val="single" w:sz="6" w:space="12" w:color="808080"/>
      </w:pBdr>
      <w:spacing w:after="0" w:line="440" w:lineRule="atLeast"/>
    </w:pPr>
    <w:rPr>
      <w:spacing w:val="30"/>
      <w:sz w:val="36"/>
    </w:rPr>
  </w:style>
  <w:style w:type="paragraph" w:customStyle="1" w:styleId="TitleCover">
    <w:name w:val="Title Cover"/>
    <w:basedOn w:val="HeadingBase"/>
    <w:next w:val="SubtitleCover"/>
    <w:rsid w:val="00144335"/>
    <w:pPr>
      <w:spacing w:after="240" w:line="720" w:lineRule="atLeast"/>
      <w:jc w:val="center"/>
    </w:pPr>
    <w:rPr>
      <w:caps/>
      <w:spacing w:val="65"/>
      <w:sz w:val="64"/>
    </w:rPr>
  </w:style>
  <w:style w:type="character" w:customStyle="1" w:styleId="HeadingBaseChar">
    <w:name w:val="Heading Base Char"/>
    <w:link w:val="HeadingBase"/>
    <w:rsid w:val="00144335"/>
    <w:rPr>
      <w:rFonts w:ascii="Arial" w:hAnsi="Arial"/>
      <w:kern w:val="20"/>
      <w:sz w:val="24"/>
      <w:szCs w:val="24"/>
    </w:rPr>
  </w:style>
  <w:style w:type="paragraph" w:customStyle="1" w:styleId="CaptionCenteredBefore12ptNounderl">
    <w:name w:val="Caption + Centered Before:  12 pt + No underl..."/>
    <w:basedOn w:val="Normal"/>
    <w:rsid w:val="00144335"/>
    <w:pPr>
      <w:keepNext/>
      <w:spacing w:before="240"/>
      <w:jc w:val="center"/>
    </w:pPr>
    <w:rPr>
      <w:rFonts w:ascii="Arial" w:hAnsi="Arial"/>
      <w:b/>
      <w:bCs/>
      <w:spacing w:val="5"/>
      <w:sz w:val="16"/>
      <w:szCs w:val="16"/>
      <w:u w:val="single"/>
    </w:rPr>
  </w:style>
  <w:style w:type="paragraph" w:styleId="NoSpacing">
    <w:name w:val="No Spacing"/>
    <w:link w:val="NoSpacingChar"/>
    <w:uiPriority w:val="1"/>
    <w:qFormat/>
    <w:rsid w:val="00144335"/>
    <w:rPr>
      <w:rFonts w:ascii="Calibri" w:hAnsi="Calibri"/>
      <w:sz w:val="22"/>
      <w:szCs w:val="22"/>
    </w:rPr>
  </w:style>
  <w:style w:type="character" w:customStyle="1" w:styleId="NoSpacingChar">
    <w:name w:val="No Spacing Char"/>
    <w:link w:val="NoSpacing"/>
    <w:uiPriority w:val="1"/>
    <w:rsid w:val="00144335"/>
    <w:rPr>
      <w:rFonts w:ascii="Calibri" w:hAnsi="Calibri"/>
      <w:sz w:val="22"/>
      <w:szCs w:val="22"/>
      <w:lang w:bidi="ar-SA"/>
    </w:rPr>
  </w:style>
  <w:style w:type="character" w:customStyle="1" w:styleId="HeaderChar">
    <w:name w:val="Header Char"/>
    <w:link w:val="Header"/>
    <w:uiPriority w:val="99"/>
    <w:rsid w:val="00CC33FB"/>
    <w:rPr>
      <w:rFonts w:ascii="Minion Pro" w:hAnsi="Minion Pro"/>
      <w:sz w:val="16"/>
      <w:lang w:val="en-AU" w:eastAsia="x-none"/>
    </w:rPr>
  </w:style>
  <w:style w:type="paragraph" w:styleId="BalloonText">
    <w:name w:val="Balloon Text"/>
    <w:basedOn w:val="Normal"/>
    <w:link w:val="BalloonTextChar"/>
    <w:uiPriority w:val="99"/>
    <w:rsid w:val="00F468A1"/>
    <w:rPr>
      <w:rFonts w:ascii="Tahoma" w:hAnsi="Tahoma"/>
      <w:sz w:val="16"/>
      <w:szCs w:val="16"/>
      <w:lang w:val="x-none" w:eastAsia="x-none"/>
    </w:rPr>
  </w:style>
  <w:style w:type="character" w:customStyle="1" w:styleId="BalloonTextChar">
    <w:name w:val="Balloon Text Char"/>
    <w:link w:val="BalloonText"/>
    <w:uiPriority w:val="99"/>
    <w:rsid w:val="00F468A1"/>
    <w:rPr>
      <w:rFonts w:ascii="Tahoma" w:hAnsi="Tahoma" w:cs="Tahoma"/>
      <w:sz w:val="16"/>
      <w:szCs w:val="16"/>
    </w:rPr>
  </w:style>
  <w:style w:type="numbering" w:customStyle="1" w:styleId="NoList1">
    <w:name w:val="No List1"/>
    <w:next w:val="NoList"/>
    <w:uiPriority w:val="99"/>
    <w:semiHidden/>
    <w:unhideWhenUsed/>
    <w:rsid w:val="00F421FD"/>
  </w:style>
  <w:style w:type="character" w:customStyle="1" w:styleId="Heading1Char">
    <w:name w:val="Heading 1 Char"/>
    <w:link w:val="Heading1"/>
    <w:rsid w:val="00CE42F2"/>
    <w:rPr>
      <w:rFonts w:ascii="Minion Pro" w:eastAsia="Proxima Nova" w:hAnsi="Minion Pro" w:cs="Proxima Nova"/>
      <w:spacing w:val="2"/>
      <w:sz w:val="28"/>
      <w:szCs w:val="52"/>
      <w:lang w:val="en"/>
    </w:rPr>
  </w:style>
  <w:style w:type="character" w:customStyle="1" w:styleId="Heading2Char">
    <w:name w:val="Heading 2 Char"/>
    <w:link w:val="Heading2"/>
    <w:rsid w:val="00D33507"/>
    <w:rPr>
      <w:rFonts w:ascii="Minion Pro" w:eastAsia="Proxima Nova" w:hAnsi="Minion Pro" w:cs="Proxima Nova"/>
      <w:spacing w:val="2"/>
      <w:sz w:val="24"/>
      <w:szCs w:val="40"/>
      <w:lang w:val="en"/>
      <w14:ligatures w14:val="standardContextual"/>
      <w14:numForm w14:val="oldStyle"/>
    </w:rPr>
  </w:style>
  <w:style w:type="character" w:customStyle="1" w:styleId="Heading3Char">
    <w:name w:val="Heading 3 Char"/>
    <w:link w:val="Heading3"/>
    <w:rsid w:val="00BD5253"/>
    <w:rPr>
      <w:rFonts w:ascii="Minion Pro" w:eastAsia="Proxima Nova" w:hAnsi="Minion Pro" w:cs="Proxima Nova"/>
      <w:i/>
      <w:spacing w:val="2"/>
      <w:szCs w:val="32"/>
      <w:lang w:val="en"/>
    </w:rPr>
  </w:style>
  <w:style w:type="paragraph" w:customStyle="1" w:styleId="Standard">
    <w:name w:val="Standard"/>
    <w:rsid w:val="006B4CAB"/>
    <w:pPr>
      <w:widowControl w:val="0"/>
      <w:suppressAutoHyphens/>
      <w:autoSpaceDN w:val="0"/>
      <w:textAlignment w:val="baseline"/>
    </w:pPr>
    <w:rPr>
      <w:rFonts w:ascii="Minion Pro" w:eastAsia="Lucida Sans Unicode" w:hAnsi="Minion Pro" w:cs="Tahoma"/>
      <w:kern w:val="3"/>
      <w:szCs w:val="24"/>
      <w14:ligatures w14:val="standardContextual"/>
      <w14:numForm w14:val="oldStyle"/>
    </w:rPr>
  </w:style>
  <w:style w:type="paragraph" w:customStyle="1" w:styleId="Heading">
    <w:name w:val="Heading"/>
    <w:basedOn w:val="Standard"/>
    <w:next w:val="Textbody"/>
    <w:rsid w:val="00F421FD"/>
    <w:pPr>
      <w:keepNext/>
      <w:spacing w:before="240" w:after="120"/>
    </w:pPr>
    <w:rPr>
      <w:rFonts w:ascii="Arial" w:eastAsia="MS Mincho" w:hAnsi="Arial"/>
      <w:sz w:val="28"/>
      <w:szCs w:val="28"/>
    </w:rPr>
  </w:style>
  <w:style w:type="paragraph" w:customStyle="1" w:styleId="Textbody">
    <w:name w:val="Text body"/>
    <w:basedOn w:val="Standard"/>
    <w:rsid w:val="006B4CAB"/>
    <w:pPr>
      <w:widowControl/>
      <w:spacing w:after="60"/>
      <w:jc w:val="both"/>
    </w:pPr>
  </w:style>
  <w:style w:type="paragraph" w:styleId="List">
    <w:name w:val="List"/>
    <w:basedOn w:val="Textbody"/>
    <w:rsid w:val="00F421FD"/>
  </w:style>
  <w:style w:type="paragraph" w:customStyle="1" w:styleId="Index">
    <w:name w:val="Index"/>
    <w:basedOn w:val="Standard"/>
    <w:rsid w:val="000101F1"/>
    <w:pPr>
      <w:widowControl/>
      <w:suppressLineNumbers/>
      <w:tabs>
        <w:tab w:val="right" w:leader="dot" w:pos="2808"/>
      </w:tabs>
      <w:ind w:left="360" w:hanging="360"/>
    </w:pPr>
    <w:rPr>
      <w:sz w:val="18"/>
    </w:rPr>
  </w:style>
  <w:style w:type="paragraph" w:customStyle="1" w:styleId="HorizontalLine">
    <w:name w:val="Horizontal Line"/>
    <w:basedOn w:val="Standard"/>
    <w:next w:val="Textbody"/>
    <w:rsid w:val="00F421FD"/>
    <w:pPr>
      <w:suppressLineNumbers/>
      <w:pBdr>
        <w:bottom w:val="double" w:sz="2" w:space="0" w:color="808080"/>
      </w:pBdr>
      <w:spacing w:after="283"/>
    </w:pPr>
    <w:rPr>
      <w:sz w:val="12"/>
      <w:szCs w:val="12"/>
    </w:rPr>
  </w:style>
  <w:style w:type="paragraph" w:customStyle="1" w:styleId="Quotations">
    <w:name w:val="Quotations"/>
    <w:basedOn w:val="Standard"/>
    <w:rsid w:val="00F421FD"/>
    <w:pPr>
      <w:spacing w:after="283"/>
      <w:ind w:left="567" w:right="567"/>
    </w:pPr>
  </w:style>
  <w:style w:type="paragraph" w:customStyle="1" w:styleId="Footnote">
    <w:name w:val="Footnote"/>
    <w:basedOn w:val="Standard"/>
    <w:rsid w:val="00F87949"/>
    <w:pPr>
      <w:suppressLineNumbers/>
      <w:ind w:left="283" w:hanging="283"/>
    </w:pPr>
    <w:rPr>
      <w:szCs w:val="20"/>
    </w:rPr>
  </w:style>
  <w:style w:type="paragraph" w:customStyle="1" w:styleId="Hangingindent">
    <w:name w:val="Hanging indent"/>
    <w:basedOn w:val="Textbody"/>
    <w:rsid w:val="00F421FD"/>
    <w:pPr>
      <w:tabs>
        <w:tab w:val="left" w:pos="567"/>
      </w:tabs>
      <w:ind w:left="567" w:hanging="283"/>
    </w:pPr>
  </w:style>
  <w:style w:type="paragraph" w:customStyle="1" w:styleId="ContentsHeading">
    <w:name w:val="Contents Heading"/>
    <w:basedOn w:val="Heading"/>
    <w:rsid w:val="00F421FD"/>
    <w:pPr>
      <w:suppressLineNumbers/>
    </w:pPr>
    <w:rPr>
      <w:b/>
      <w:bCs/>
      <w:sz w:val="32"/>
      <w:szCs w:val="32"/>
    </w:rPr>
  </w:style>
  <w:style w:type="paragraph" w:customStyle="1" w:styleId="Contents1">
    <w:name w:val="Contents 1"/>
    <w:basedOn w:val="Index"/>
    <w:rsid w:val="00982945"/>
    <w:pPr>
      <w:tabs>
        <w:tab w:val="right" w:leader="dot" w:pos="9972"/>
      </w:tabs>
    </w:pPr>
    <w:rPr>
      <w:sz w:val="22"/>
    </w:rPr>
  </w:style>
  <w:style w:type="paragraph" w:customStyle="1" w:styleId="Contents2">
    <w:name w:val="Contents 2"/>
    <w:basedOn w:val="Index"/>
    <w:rsid w:val="00F421FD"/>
    <w:pPr>
      <w:tabs>
        <w:tab w:val="right" w:leader="dot" w:pos="9972"/>
      </w:tabs>
      <w:ind w:left="283"/>
    </w:pPr>
    <w:rPr>
      <w:b/>
      <w:i/>
      <w:sz w:val="22"/>
    </w:rPr>
  </w:style>
  <w:style w:type="paragraph" w:customStyle="1" w:styleId="Contents3">
    <w:name w:val="Contents 3"/>
    <w:basedOn w:val="Index"/>
    <w:rsid w:val="00F421FD"/>
    <w:pPr>
      <w:tabs>
        <w:tab w:val="right" w:leader="dot" w:pos="9972"/>
      </w:tabs>
      <w:ind w:left="566"/>
    </w:pPr>
    <w:rPr>
      <w:i/>
    </w:rPr>
  </w:style>
  <w:style w:type="character" w:customStyle="1" w:styleId="Internetlink">
    <w:name w:val="Internet link"/>
    <w:rsid w:val="00F421FD"/>
    <w:rPr>
      <w:color w:val="000080"/>
      <w:u w:val="single"/>
    </w:rPr>
  </w:style>
  <w:style w:type="character" w:customStyle="1" w:styleId="StrongEmphasis">
    <w:name w:val="Strong Emphasis"/>
    <w:rsid w:val="00F421FD"/>
    <w:rPr>
      <w:b/>
      <w:bCs/>
    </w:rPr>
  </w:style>
  <w:style w:type="character" w:customStyle="1" w:styleId="Citation">
    <w:name w:val="Citation"/>
    <w:rsid w:val="00F421FD"/>
    <w:rPr>
      <w:i/>
      <w:iCs/>
    </w:rPr>
  </w:style>
  <w:style w:type="character" w:customStyle="1" w:styleId="FootnoteSymbol">
    <w:name w:val="Footnote Symbol"/>
    <w:rsid w:val="00F421FD"/>
  </w:style>
  <w:style w:type="character" w:customStyle="1" w:styleId="Footnoteanchor">
    <w:name w:val="Footnote anchor"/>
    <w:rsid w:val="00F421FD"/>
    <w:rPr>
      <w:position w:val="0"/>
      <w:vertAlign w:val="superscript"/>
    </w:rPr>
  </w:style>
  <w:style w:type="paragraph" w:customStyle="1" w:styleId="Translation">
    <w:name w:val="Translation"/>
    <w:basedOn w:val="Normal"/>
    <w:next w:val="Normal"/>
    <w:qFormat/>
    <w:rsid w:val="00402FDE"/>
    <w:pPr>
      <w:suppressAutoHyphens/>
      <w:autoSpaceDN w:val="0"/>
      <w:ind w:left="567" w:right="567"/>
      <w:jc w:val="left"/>
      <w:textAlignment w:val="baseline"/>
    </w:pPr>
    <w:rPr>
      <w:rFonts w:eastAsia="Lucida Sans Unicode" w:cs="Tahoma"/>
      <w:i/>
      <w:kern w:val="3"/>
      <w:sz w:val="22"/>
      <w:szCs w:val="22"/>
    </w:rPr>
  </w:style>
  <w:style w:type="paragraph" w:customStyle="1" w:styleId="Translation1">
    <w:name w:val="Translation 1"/>
    <w:basedOn w:val="Normal"/>
    <w:qFormat/>
    <w:rsid w:val="00BB05B7"/>
    <w:pPr>
      <w:suppressAutoHyphens/>
      <w:autoSpaceDN w:val="0"/>
      <w:ind w:left="360"/>
      <w:jc w:val="left"/>
      <w:textAlignment w:val="baseline"/>
    </w:pPr>
    <w:rPr>
      <w:rFonts w:eastAsia="Lucida Sans Unicode" w:cs="Tahoma"/>
      <w:kern w:val="3"/>
      <w:szCs w:val="24"/>
    </w:rPr>
  </w:style>
  <w:style w:type="paragraph" w:customStyle="1" w:styleId="Translation2">
    <w:name w:val="Translation 2"/>
    <w:basedOn w:val="Translation1"/>
    <w:qFormat/>
    <w:rsid w:val="00402FDE"/>
    <w:pPr>
      <w:ind w:left="720"/>
    </w:pPr>
  </w:style>
  <w:style w:type="paragraph" w:customStyle="1" w:styleId="Translation3">
    <w:name w:val="Translation 3"/>
    <w:basedOn w:val="Translation2"/>
    <w:qFormat/>
    <w:rsid w:val="00402FDE"/>
    <w:pPr>
      <w:ind w:left="1080"/>
    </w:pPr>
  </w:style>
  <w:style w:type="paragraph" w:customStyle="1" w:styleId="Translation4">
    <w:name w:val="Translation 4"/>
    <w:basedOn w:val="Translation3"/>
    <w:qFormat/>
    <w:rsid w:val="00402FDE"/>
    <w:pPr>
      <w:ind w:left="1440"/>
    </w:pPr>
  </w:style>
  <w:style w:type="paragraph" w:customStyle="1" w:styleId="Translation5">
    <w:name w:val="Translation 5"/>
    <w:basedOn w:val="Translation4"/>
    <w:qFormat/>
    <w:rsid w:val="00402FDE"/>
    <w:pPr>
      <w:ind w:left="1800"/>
    </w:pPr>
  </w:style>
  <w:style w:type="paragraph" w:customStyle="1" w:styleId="Translation6">
    <w:name w:val="Translation 6"/>
    <w:basedOn w:val="Translation5"/>
    <w:qFormat/>
    <w:rsid w:val="00402FDE"/>
    <w:pPr>
      <w:ind w:left="2160"/>
    </w:pPr>
  </w:style>
  <w:style w:type="paragraph" w:customStyle="1" w:styleId="Translation7">
    <w:name w:val="Translation 7"/>
    <w:basedOn w:val="Translation6"/>
    <w:qFormat/>
    <w:rsid w:val="00402FDE"/>
    <w:pPr>
      <w:ind w:left="2520"/>
    </w:pPr>
    <w:rPr>
      <w:szCs w:val="22"/>
    </w:rPr>
  </w:style>
  <w:style w:type="paragraph" w:customStyle="1" w:styleId="Translation8">
    <w:name w:val="Translation 8"/>
    <w:basedOn w:val="Translation7"/>
    <w:qFormat/>
    <w:rsid w:val="00402FDE"/>
    <w:pPr>
      <w:ind w:left="2880"/>
    </w:pPr>
  </w:style>
  <w:style w:type="character" w:customStyle="1" w:styleId="GreekCommentText">
    <w:name w:val="Greek Comment Text"/>
    <w:basedOn w:val="DefaultParagraphFont"/>
    <w:uiPriority w:val="1"/>
    <w:qFormat/>
    <w:rsid w:val="00402FDE"/>
    <w:rPr>
      <w:rFonts w:ascii="Minion Pro SmBd" w:hAnsi="Minion Pro SmBd"/>
      <w:sz w:val="22"/>
      <w:szCs w:val="22"/>
    </w:rPr>
  </w:style>
  <w:style w:type="character" w:styleId="Emphasis">
    <w:name w:val="Emphasis"/>
    <w:basedOn w:val="DefaultParagraphFont"/>
    <w:qFormat/>
    <w:rsid w:val="008E4B04"/>
    <w:rPr>
      <w:i/>
      <w:iCs/>
    </w:rPr>
  </w:style>
  <w:style w:type="paragraph" w:styleId="Bibliography">
    <w:name w:val="Bibliography"/>
    <w:basedOn w:val="Normal"/>
    <w:next w:val="Normal"/>
    <w:autoRedefine/>
    <w:uiPriority w:val="37"/>
    <w:unhideWhenUsed/>
    <w:rsid w:val="00186CC3"/>
    <w:pPr>
      <w:spacing w:before="60" w:after="0"/>
      <w:ind w:left="720" w:hanging="720"/>
      <w:jc w:val="left"/>
    </w:pPr>
    <w:rPr>
      <w:sz w:val="17"/>
    </w:rPr>
  </w:style>
  <w:style w:type="character" w:customStyle="1" w:styleId="Heading5Char">
    <w:name w:val="Heading 5 Char"/>
    <w:basedOn w:val="DefaultParagraphFont"/>
    <w:link w:val="Heading5"/>
    <w:rsid w:val="00D05FE7"/>
    <w:rPr>
      <w:rFonts w:ascii="Minion Pro" w:hAnsi="Minion Pro" w:cs="Arial"/>
      <w:i/>
      <w:iCs/>
      <w:sz w:val="18"/>
      <w:szCs w:val="18"/>
      <w14:ligatures w14:val="standardContextual"/>
      <w14:numForm w14:val="oldStyle"/>
      <w14:cntxtAlts/>
    </w:rPr>
  </w:style>
  <w:style w:type="character" w:customStyle="1" w:styleId="Heading6Char">
    <w:name w:val="Heading 6 Char"/>
    <w:basedOn w:val="DefaultParagraphFont"/>
    <w:link w:val="Heading6"/>
    <w:rsid w:val="00A343C6"/>
    <w:rPr>
      <w:rFonts w:ascii="Minion Pro" w:hAnsi="Minion Pro"/>
      <w:i/>
      <w:iCs/>
      <w:sz w:val="18"/>
      <w:szCs w:val="22"/>
      <w14:ligatures w14:val="standardContextual"/>
      <w14:numForm w14:val="oldStyle"/>
      <w14:cntxtAlts/>
    </w:rPr>
  </w:style>
  <w:style w:type="character" w:customStyle="1" w:styleId="Heading8Char">
    <w:name w:val="Heading 8 Char"/>
    <w:basedOn w:val="DefaultParagraphFont"/>
    <w:link w:val="Heading8"/>
    <w:rsid w:val="00AE61F0"/>
    <w:rPr>
      <w:rFonts w:ascii="Arial" w:hAnsi="Arial" w:cs="Arial"/>
      <w:i/>
      <w:iCs/>
      <w14:ligatures w14:val="standardContextual"/>
      <w14:numForm w14:val="oldStyle"/>
      <w14:cntxtAlts/>
    </w:rPr>
  </w:style>
  <w:style w:type="character" w:customStyle="1" w:styleId="Heading9Char">
    <w:name w:val="Heading 9 Char"/>
    <w:basedOn w:val="DefaultParagraphFont"/>
    <w:link w:val="Heading9"/>
    <w:rsid w:val="00AE61F0"/>
    <w:rPr>
      <w:rFonts w:ascii="Arial" w:hAnsi="Arial" w:cs="Arial"/>
      <w:b/>
      <w:bCs/>
      <w14:ligatures w14:val="standardContextual"/>
      <w14:numForm w14:val="oldStyle"/>
      <w14:cntxtAlts/>
    </w:rPr>
  </w:style>
  <w:style w:type="character" w:customStyle="1" w:styleId="Heading4Char">
    <w:name w:val="Heading 4 Char"/>
    <w:basedOn w:val="DefaultParagraphFont"/>
    <w:link w:val="Heading4"/>
    <w:rsid w:val="004F37DA"/>
    <w:rPr>
      <w:rFonts w:ascii="Minion Pro" w:eastAsia="Proxima Nova" w:hAnsi="Minion Pro" w:cs="Proxima Nova"/>
      <w:i/>
      <w:spacing w:val="2"/>
      <w:szCs w:val="32"/>
      <w:lang w:val="en"/>
    </w:rPr>
  </w:style>
  <w:style w:type="paragraph" w:styleId="DocumentMap">
    <w:name w:val="Document Map"/>
    <w:basedOn w:val="Normal"/>
    <w:link w:val="DocumentMapChar"/>
    <w:rsid w:val="00AE61F0"/>
    <w:pPr>
      <w:shd w:val="clear" w:color="auto" w:fill="000080"/>
      <w:jc w:val="left"/>
    </w:pPr>
    <w:rPr>
      <w:rFonts w:ascii="Tahoma" w:hAnsi="Tahoma" w:cs="Tahoma"/>
      <w14:ligatures w14:val="standardContextual"/>
      <w14:numForm w14:val="oldStyle"/>
      <w14:cntxtAlts/>
    </w:rPr>
  </w:style>
  <w:style w:type="character" w:customStyle="1" w:styleId="DocumentMapChar">
    <w:name w:val="Document Map Char"/>
    <w:basedOn w:val="DefaultParagraphFont"/>
    <w:link w:val="DocumentMap"/>
    <w:rsid w:val="00AE61F0"/>
    <w:rPr>
      <w:rFonts w:ascii="Tahoma" w:hAnsi="Tahoma" w:cs="Tahoma"/>
      <w:shd w:val="clear" w:color="auto" w:fill="000080"/>
      <w14:ligatures w14:val="standardContextual"/>
      <w14:numForm w14:val="oldStyle"/>
      <w14:cntxtAlts/>
    </w:rPr>
  </w:style>
  <w:style w:type="character" w:customStyle="1" w:styleId="TitleChar">
    <w:name w:val="Title Char"/>
    <w:basedOn w:val="DefaultParagraphFont"/>
    <w:link w:val="Title"/>
    <w:rsid w:val="005F650C"/>
    <w:rPr>
      <w:rFonts w:ascii="Minion Pro" w:hAnsi="Minion Pro"/>
      <w:b/>
      <w:color w:val="000000" w:themeColor="text1"/>
      <w:kern w:val="28"/>
      <w:sz w:val="28"/>
      <w:shd w:val="clear" w:color="auto" w:fill="FFFFFF" w:themeFill="background1"/>
      <w:lang w:val="en-AU"/>
    </w:rPr>
  </w:style>
  <w:style w:type="character" w:customStyle="1" w:styleId="FootnoteTextChar1">
    <w:name w:val="Footnote Text Char1"/>
    <w:basedOn w:val="DefaultParagraphFont"/>
    <w:uiPriority w:val="99"/>
    <w:semiHidden/>
    <w:rsid w:val="00AE61F0"/>
    <w:rPr>
      <w:rFonts w:ascii="Minion Pro" w:hAnsi="Minion Pro"/>
      <w14:ligatures w14:val="standardContextual"/>
      <w14:numForm w14:val="oldStyle"/>
      <w14:cntxtAlts/>
    </w:rPr>
  </w:style>
  <w:style w:type="character" w:customStyle="1" w:styleId="CrossReference">
    <w:name w:val="Cross Reference"/>
    <w:rsid w:val="00AE61F0"/>
    <w:rPr>
      <w:rFonts w:ascii="Dax-Regular" w:hAnsi="Dax-Regular" w:cs="Arial"/>
      <w:noProof/>
      <w:u w:val="single"/>
    </w:rPr>
  </w:style>
  <w:style w:type="character" w:customStyle="1" w:styleId="Gloss">
    <w:name w:val="Gloss"/>
    <w:rsid w:val="00AE61F0"/>
    <w:rPr>
      <w:rFonts w:ascii="Minion Pro SmBd" w:hAnsi="Minion Pro SmBd" w:cs="Times New Roman"/>
      <w:bCs/>
      <w:lang w:val="en-US" w:eastAsia="x-none"/>
    </w:rPr>
  </w:style>
  <w:style w:type="paragraph" w:customStyle="1" w:styleId="GlossaryCrossReferences">
    <w:name w:val="Glossary Cross References"/>
    <w:basedOn w:val="Normal"/>
    <w:link w:val="GlossaryCrossReferencesChar"/>
    <w:rsid w:val="00AE61F0"/>
    <w:pPr>
      <w:tabs>
        <w:tab w:val="left" w:pos="1080"/>
      </w:tabs>
      <w:autoSpaceDE w:val="0"/>
      <w:autoSpaceDN w:val="0"/>
      <w:ind w:left="360" w:hanging="360"/>
      <w:jc w:val="left"/>
    </w:pPr>
    <w:rPr>
      <w:rFonts w:ascii="Dax-Regular" w:hAnsi="Dax-Regular" w:cs="Arial"/>
      <w:sz w:val="22"/>
      <w:szCs w:val="18"/>
      <w14:ligatures w14:val="standardContextual"/>
      <w14:numForm w14:val="oldStyle"/>
      <w14:cntxtAlts/>
    </w:rPr>
  </w:style>
  <w:style w:type="character" w:customStyle="1" w:styleId="GlossaryCrossReferencesChar">
    <w:name w:val="Glossary Cross References Char"/>
    <w:link w:val="GlossaryCrossReferences"/>
    <w:rsid w:val="00AE61F0"/>
    <w:rPr>
      <w:rFonts w:ascii="Dax-Regular" w:hAnsi="Dax-Regular" w:cs="Arial"/>
      <w:sz w:val="22"/>
      <w:szCs w:val="18"/>
      <w14:ligatures w14:val="standardContextual"/>
      <w14:numForm w14:val="oldStyle"/>
      <w14:cntxtAlts/>
    </w:rPr>
  </w:style>
  <w:style w:type="paragraph" w:customStyle="1" w:styleId="GlossaryDefinition">
    <w:name w:val="Glossary Definition"/>
    <w:basedOn w:val="Normal"/>
    <w:rsid w:val="00AE61F0"/>
    <w:pPr>
      <w:autoSpaceDE w:val="0"/>
      <w:autoSpaceDN w:val="0"/>
      <w:ind w:left="360"/>
      <w:jc w:val="left"/>
    </w:pPr>
    <w:rPr>
      <w14:ligatures w14:val="standardContextual"/>
      <w14:numForm w14:val="oldStyle"/>
      <w14:cntxtAlts/>
    </w:rPr>
  </w:style>
  <w:style w:type="paragraph" w:customStyle="1" w:styleId="GlossaryHeadword">
    <w:name w:val="Glossary Headword"/>
    <w:basedOn w:val="Normal"/>
    <w:link w:val="GlossaryHeadwordChar"/>
    <w:rsid w:val="00AE61F0"/>
    <w:pPr>
      <w:keepNext/>
      <w:autoSpaceDE w:val="0"/>
      <w:autoSpaceDN w:val="0"/>
      <w:spacing w:before="240"/>
      <w:jc w:val="left"/>
    </w:pPr>
    <w:rPr>
      <w:rFonts w:ascii="Dax-Medium" w:hAnsi="Dax-Medium" w:cs="Arial"/>
      <w:bCs/>
      <w14:ligatures w14:val="standardContextual"/>
      <w14:numForm w14:val="oldStyle"/>
      <w14:cntxtAlts/>
    </w:rPr>
  </w:style>
  <w:style w:type="character" w:customStyle="1" w:styleId="GlossaryHeadwordChar">
    <w:name w:val="Glossary Headword Char"/>
    <w:link w:val="GlossaryHeadword"/>
    <w:rsid w:val="00AE61F0"/>
    <w:rPr>
      <w:rFonts w:ascii="Dax-Medium" w:hAnsi="Dax-Medium" w:cs="Arial"/>
      <w:bCs/>
      <w14:ligatures w14:val="standardContextual"/>
      <w14:numForm w14:val="oldStyle"/>
      <w14:cntxtAlts/>
    </w:rPr>
  </w:style>
  <w:style w:type="paragraph" w:customStyle="1" w:styleId="GlossaryRelevantSection">
    <w:name w:val="Glossary Relevant Section"/>
    <w:basedOn w:val="GlossaryCrossReferences"/>
    <w:link w:val="GlossaryRelevantSectionChar"/>
    <w:rsid w:val="00AE61F0"/>
    <w:pPr>
      <w:tabs>
        <w:tab w:val="clear" w:pos="1080"/>
        <w:tab w:val="left" w:pos="360"/>
      </w:tabs>
      <w:spacing w:before="60"/>
      <w:ind w:left="1080"/>
    </w:pPr>
  </w:style>
  <w:style w:type="character" w:customStyle="1" w:styleId="GlossaryRelevantSectionChar">
    <w:name w:val="Glossary Relevant Section Char"/>
    <w:basedOn w:val="GlossaryCrossReferencesChar"/>
    <w:link w:val="GlossaryRelevantSection"/>
    <w:rsid w:val="00AE61F0"/>
    <w:rPr>
      <w:rFonts w:ascii="Dax-Regular" w:hAnsi="Dax-Regular" w:cs="Arial"/>
      <w:sz w:val="22"/>
      <w:szCs w:val="18"/>
      <w14:ligatures w14:val="standardContextual"/>
      <w14:numForm w14:val="oldStyle"/>
      <w14:cntxtAlts/>
    </w:rPr>
  </w:style>
  <w:style w:type="character" w:customStyle="1" w:styleId="FooterChar">
    <w:name w:val="Footer Char"/>
    <w:basedOn w:val="DefaultParagraphFont"/>
    <w:link w:val="Footer"/>
    <w:uiPriority w:val="99"/>
    <w:rsid w:val="00AE61F0"/>
    <w:rPr>
      <w:rFonts w:ascii="Minion Pro" w:eastAsia="Arial Unicode MS" w:hAnsi="Minion Pro"/>
      <w:b/>
      <w:sz w:val="18"/>
      <w:lang w:val="en-AU" w:eastAsia="x-none"/>
    </w:rPr>
  </w:style>
  <w:style w:type="paragraph" w:styleId="BlockText">
    <w:name w:val="Block Text"/>
    <w:basedOn w:val="Normal"/>
    <w:next w:val="Normal"/>
    <w:rsid w:val="00AE61F0"/>
    <w:pPr>
      <w:ind w:left="360"/>
      <w:jc w:val="left"/>
    </w:pPr>
    <w:rPr>
      <w:szCs w:val="24"/>
      <w14:ligatures w14:val="standardContextual"/>
      <w14:numForm w14:val="oldStyle"/>
      <w14:cntxtAlts/>
    </w:rPr>
  </w:style>
  <w:style w:type="table" w:styleId="TableGrid">
    <w:name w:val="Table Grid"/>
    <w:basedOn w:val="TableNormal"/>
    <w:rsid w:val="00AE61F0"/>
    <w:pPr>
      <w:spacing w:before="12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E61F0"/>
    <w:pPr>
      <w:ind w:left="720"/>
      <w:contextualSpacing/>
      <w:jc w:val="left"/>
    </w:pPr>
    <w:rPr>
      <w:sz w:val="22"/>
      <w:szCs w:val="24"/>
      <w14:ligatures w14:val="standardContextual"/>
      <w14:numForm w14:val="oldStyle"/>
      <w14:cntxtAlts/>
    </w:rPr>
  </w:style>
  <w:style w:type="paragraph" w:customStyle="1" w:styleId="LEBQuotation">
    <w:name w:val="LEB Quotation"/>
    <w:basedOn w:val="Normal"/>
    <w:next w:val="Textbody"/>
    <w:link w:val="LEBQuotationChar"/>
    <w:autoRedefine/>
    <w:qFormat/>
    <w:rsid w:val="00E43CFB"/>
    <w:pPr>
      <w:spacing w:before="240"/>
      <w:ind w:left="360"/>
      <w:jc w:val="left"/>
    </w:pPr>
    <w:rPr>
      <w:i/>
      <w:szCs w:val="24"/>
      <w14:ligatures w14:val="standardContextual"/>
      <w14:numForm w14:val="oldStyle"/>
      <w14:cntxtAlts/>
    </w:rPr>
  </w:style>
  <w:style w:type="character" w:customStyle="1" w:styleId="LEBQuotationChar">
    <w:name w:val="LEB Quotation Char"/>
    <w:basedOn w:val="DefaultParagraphFont"/>
    <w:link w:val="LEBQuotation"/>
    <w:rsid w:val="00E43CFB"/>
    <w:rPr>
      <w:rFonts w:ascii="Minion Pro" w:hAnsi="Minion Pro"/>
      <w:i/>
      <w:szCs w:val="24"/>
      <w14:ligatures w14:val="standardContextual"/>
      <w14:numForm w14:val="oldStyle"/>
      <w14:cntxtAlts/>
    </w:rPr>
  </w:style>
  <w:style w:type="paragraph" w:customStyle="1" w:styleId="BlockQuote">
    <w:name w:val="Block Quote"/>
    <w:basedOn w:val="Normal"/>
    <w:next w:val="Normal"/>
    <w:link w:val="BlockQuoteChar1"/>
    <w:rsid w:val="00166FF3"/>
    <w:pPr>
      <w:ind w:left="360" w:right="360"/>
      <w:jc w:val="left"/>
    </w:pPr>
    <w:rPr>
      <w:sz w:val="18"/>
      <w:szCs w:val="22"/>
      <w14:ligatures w14:val="standardContextual"/>
      <w14:numForm w14:val="oldStyle"/>
      <w14:cntxtAlts/>
    </w:rPr>
  </w:style>
  <w:style w:type="character" w:customStyle="1" w:styleId="BlockQuoteChar1">
    <w:name w:val="Block Quote Char1"/>
    <w:basedOn w:val="DefaultParagraphFont"/>
    <w:link w:val="BlockQuote"/>
    <w:rsid w:val="00166FF3"/>
    <w:rPr>
      <w:rFonts w:ascii="Minion Pro" w:hAnsi="Minion Pro"/>
      <w:sz w:val="18"/>
      <w:szCs w:val="22"/>
      <w14:ligatures w14:val="standardContextual"/>
      <w14:numForm w14:val="oldStyle"/>
      <w14:cntxtAlts/>
    </w:rPr>
  </w:style>
  <w:style w:type="paragraph" w:customStyle="1" w:styleId="PhraseHeading">
    <w:name w:val="Phrase Heading"/>
    <w:basedOn w:val="Normal"/>
    <w:next w:val="Normal"/>
    <w:rsid w:val="00AE61F0"/>
    <w:pPr>
      <w:keepNext/>
      <w:spacing w:before="240"/>
    </w:pPr>
    <w:rPr>
      <w:i/>
      <w14:ligatures w14:val="standardContextual"/>
      <w14:numForm w14:val="oldStyle"/>
      <w14:cntxtAlts/>
    </w:rPr>
  </w:style>
  <w:style w:type="character" w:customStyle="1" w:styleId="BibleWord">
    <w:name w:val="Bible Word"/>
    <w:basedOn w:val="DefaultParagraphFont"/>
    <w:rsid w:val="00AE61F0"/>
    <w:rPr>
      <w:rFonts w:ascii="Minion Pro" w:hAnsi="Minion Pro"/>
      <w:b/>
    </w:rPr>
  </w:style>
  <w:style w:type="paragraph" w:customStyle="1" w:styleId="StyleBlockQuoteCharItalic">
    <w:name w:val="Style Block Quote Char + Italic"/>
    <w:basedOn w:val="Normal"/>
    <w:link w:val="StyleBlockQuoteCharItalicChar"/>
    <w:rsid w:val="00AE61F0"/>
    <w:pPr>
      <w:ind w:left="360" w:right="360"/>
      <w:jc w:val="left"/>
    </w:pPr>
    <w:rPr>
      <w:i/>
      <w:iCs/>
      <w:sz w:val="18"/>
      <w:szCs w:val="22"/>
    </w:rPr>
  </w:style>
  <w:style w:type="character" w:customStyle="1" w:styleId="StyleBlockQuoteCharItalicChar">
    <w:name w:val="Style Block Quote Char + Italic Char"/>
    <w:link w:val="StyleBlockQuoteCharItalic"/>
    <w:rsid w:val="00AE61F0"/>
    <w:rPr>
      <w:rFonts w:ascii="Minion Pro" w:hAnsi="Minion Pro"/>
      <w:i/>
      <w:iCs/>
      <w:sz w:val="18"/>
      <w:szCs w:val="22"/>
    </w:rPr>
  </w:style>
  <w:style w:type="paragraph" w:customStyle="1" w:styleId="StyleBlockQuoteItalic">
    <w:name w:val="Style Block Quote + Italic"/>
    <w:basedOn w:val="BlockQuote"/>
    <w:next w:val="Normal"/>
    <w:link w:val="StyleBlockQuoteItalicChar"/>
    <w:rsid w:val="00AE61F0"/>
    <w:rPr>
      <w:i/>
      <w:iCs/>
      <w14:ligatures w14:val="none"/>
      <w14:numForm w14:val="default"/>
      <w14:cntxtAlts w14:val="0"/>
    </w:rPr>
  </w:style>
  <w:style w:type="character" w:customStyle="1" w:styleId="StyleBlockQuoteItalicChar">
    <w:name w:val="Style Block Quote + Italic Char"/>
    <w:link w:val="StyleBlockQuoteItalic"/>
    <w:rsid w:val="00AE61F0"/>
    <w:rPr>
      <w:rFonts w:ascii="Minion Pro" w:hAnsi="Minion Pro"/>
      <w:i/>
      <w:iCs/>
      <w:szCs w:val="22"/>
    </w:rPr>
  </w:style>
  <w:style w:type="paragraph" w:styleId="TOCHeading">
    <w:name w:val="TOC Heading"/>
    <w:basedOn w:val="Heading1"/>
    <w:next w:val="Normal"/>
    <w:uiPriority w:val="39"/>
    <w:unhideWhenUsed/>
    <w:qFormat/>
    <w:rsid w:val="00AE61F0"/>
    <w:pPr>
      <w:pageBreakBefore w:val="0"/>
      <w:spacing w:before="240" w:after="0" w:line="259" w:lineRule="auto"/>
      <w:outlineLvl w:val="9"/>
    </w:pPr>
    <w:rPr>
      <w:rFonts w:asciiTheme="majorHAnsi" w:eastAsiaTheme="majorEastAsia" w:hAnsiTheme="majorHAnsi" w:cstheme="majorBidi"/>
      <w:smallCaps/>
      <w:color w:val="2E74B5" w:themeColor="accent1" w:themeShade="BF"/>
      <w:sz w:val="32"/>
      <w:szCs w:val="32"/>
      <w:lang w:val="en-US"/>
    </w:rPr>
  </w:style>
  <w:style w:type="paragraph" w:styleId="TOC5">
    <w:name w:val="toc 5"/>
    <w:basedOn w:val="Normal"/>
    <w:next w:val="Normal"/>
    <w:autoRedefine/>
    <w:uiPriority w:val="39"/>
    <w:unhideWhenUsed/>
    <w:rsid w:val="00AE61F0"/>
    <w:pPr>
      <w:spacing w:after="100" w:line="259" w:lineRule="auto"/>
      <w:ind w:left="880"/>
      <w:jc w:val="left"/>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AE61F0"/>
    <w:pPr>
      <w:spacing w:after="100" w:line="259" w:lineRule="auto"/>
      <w:ind w:left="1100"/>
      <w:jc w:val="left"/>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AE61F0"/>
    <w:pPr>
      <w:spacing w:after="100" w:line="259" w:lineRule="auto"/>
      <w:ind w:left="1320"/>
      <w:jc w:val="left"/>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AE61F0"/>
    <w:pPr>
      <w:spacing w:after="100" w:line="259" w:lineRule="auto"/>
      <w:ind w:left="1540"/>
      <w:jc w:val="left"/>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AE61F0"/>
    <w:pPr>
      <w:spacing w:after="100" w:line="259" w:lineRule="auto"/>
      <w:ind w:left="1760"/>
      <w:jc w:val="left"/>
    </w:pPr>
    <w:rPr>
      <w:rFonts w:asciiTheme="minorHAnsi" w:eastAsiaTheme="minorEastAsia" w:hAnsiTheme="minorHAnsi" w:cstheme="minorBidi"/>
      <w:sz w:val="22"/>
      <w:szCs w:val="22"/>
    </w:rPr>
  </w:style>
  <w:style w:type="numbering" w:customStyle="1" w:styleId="NoList2">
    <w:name w:val="No List2"/>
    <w:next w:val="NoList"/>
    <w:uiPriority w:val="99"/>
    <w:semiHidden/>
    <w:unhideWhenUsed/>
    <w:rsid w:val="003F360A"/>
  </w:style>
  <w:style w:type="character" w:customStyle="1" w:styleId="SubtitleChar">
    <w:name w:val="Subtitle Char"/>
    <w:basedOn w:val="DefaultParagraphFont"/>
    <w:link w:val="Subtitle"/>
    <w:rsid w:val="003F360A"/>
    <w:rPr>
      <w:rFonts w:ascii="Arial Narrow" w:hAnsi="Arial Narrow"/>
      <w:kern w:val="28"/>
      <w:sz w:val="44"/>
      <w:lang w:val="en-AU"/>
    </w:rPr>
  </w:style>
  <w:style w:type="paragraph" w:customStyle="1" w:styleId="NormalNoIndent">
    <w:name w:val="Normal No Indent"/>
    <w:basedOn w:val="Normal"/>
    <w:rsid w:val="003F360A"/>
    <w:pPr>
      <w:spacing w:before="0" w:after="0" w:line="240" w:lineRule="exact"/>
    </w:pPr>
    <w:rPr>
      <w:rFonts w:eastAsia="Proxima Nova"/>
      <w:spacing w:val="2"/>
      <w:szCs w:val="22"/>
      <w:lang w:val="en"/>
    </w:rPr>
  </w:style>
  <w:style w:type="paragraph" w:customStyle="1" w:styleId="Quote1">
    <w:name w:val="Quote1"/>
    <w:basedOn w:val="Normal"/>
    <w:next w:val="Normal"/>
    <w:uiPriority w:val="29"/>
    <w:qFormat/>
    <w:rsid w:val="003F360A"/>
    <w:pPr>
      <w:spacing w:line="210" w:lineRule="exact"/>
      <w:ind w:left="230"/>
    </w:pPr>
    <w:rPr>
      <w:rFonts w:eastAsia="Proxima Nova" w:cs="Proxima Nova"/>
      <w:iCs/>
      <w:color w:val="000000"/>
      <w:spacing w:val="2"/>
      <w:sz w:val="17"/>
      <w:szCs w:val="22"/>
      <w:lang w:val="en"/>
    </w:rPr>
  </w:style>
  <w:style w:type="character" w:customStyle="1" w:styleId="QuoteChar">
    <w:name w:val="Quote Char"/>
    <w:basedOn w:val="DefaultParagraphFont"/>
    <w:link w:val="Quote"/>
    <w:uiPriority w:val="29"/>
    <w:rsid w:val="003F360A"/>
    <w:rPr>
      <w:rFonts w:ascii="Minion Pro" w:hAnsi="Minion Pro"/>
      <w:iCs/>
      <w:color w:val="000000"/>
      <w:spacing w:val="2"/>
      <w:sz w:val="17"/>
      <w14:ligatures w14:val="standardContextual"/>
      <w14:numForm w14:val="oldStyle"/>
      <w14:cntxtAlts/>
    </w:rPr>
  </w:style>
  <w:style w:type="paragraph" w:customStyle="1" w:styleId="translation0">
    <w:name w:val="translation"/>
    <w:basedOn w:val="Normal"/>
    <w:autoRedefine/>
    <w:qFormat/>
    <w:rsid w:val="003F360A"/>
    <w:pPr>
      <w:spacing w:before="0" w:after="0"/>
      <w:ind w:left="720"/>
    </w:pPr>
    <w:rPr>
      <w:sz w:val="22"/>
      <w:szCs w:val="22"/>
    </w:rPr>
  </w:style>
  <w:style w:type="character" w:styleId="UnresolvedMention">
    <w:name w:val="Unresolved Mention"/>
    <w:basedOn w:val="DefaultParagraphFont"/>
    <w:uiPriority w:val="99"/>
    <w:semiHidden/>
    <w:unhideWhenUsed/>
    <w:rsid w:val="003F360A"/>
    <w:rPr>
      <w:color w:val="605E5C"/>
      <w:shd w:val="clear" w:color="auto" w:fill="E1DFDD"/>
    </w:rPr>
  </w:style>
  <w:style w:type="paragraph" w:customStyle="1" w:styleId="Transcription">
    <w:name w:val="Transcription"/>
    <w:basedOn w:val="translation0"/>
    <w:rsid w:val="003F360A"/>
    <w:pPr>
      <w:tabs>
        <w:tab w:val="left" w:pos="720"/>
      </w:tabs>
      <w:ind w:left="950" w:hanging="720"/>
    </w:pPr>
    <w:rPr>
      <w:rFonts w:ascii="Brill" w:hAnsi="Brill"/>
      <w:sz w:val="17"/>
      <w:lang w:val="el-GR"/>
    </w:rPr>
  </w:style>
  <w:style w:type="character" w:customStyle="1" w:styleId="FollowedHyperlink1">
    <w:name w:val="FollowedHyperlink1"/>
    <w:basedOn w:val="DefaultParagraphFont"/>
    <w:uiPriority w:val="99"/>
    <w:semiHidden/>
    <w:unhideWhenUsed/>
    <w:rsid w:val="003F360A"/>
    <w:rPr>
      <w:color w:val="800080"/>
      <w:u w:val="single"/>
    </w:rPr>
  </w:style>
  <w:style w:type="paragraph" w:styleId="Quote">
    <w:name w:val="Quote"/>
    <w:basedOn w:val="Normal"/>
    <w:next w:val="Normal"/>
    <w:link w:val="QuoteChar"/>
    <w:uiPriority w:val="29"/>
    <w:qFormat/>
    <w:rsid w:val="003F360A"/>
    <w:pPr>
      <w:spacing w:before="200" w:after="160"/>
      <w:ind w:left="864" w:right="864"/>
      <w:jc w:val="center"/>
    </w:pPr>
    <w:rPr>
      <w:iCs/>
      <w:color w:val="000000"/>
      <w:spacing w:val="2"/>
      <w:sz w:val="17"/>
      <w14:ligatures w14:val="standardContextual"/>
      <w14:numForm w14:val="oldStyle"/>
      <w14:cntxtAlts/>
    </w:rPr>
  </w:style>
  <w:style w:type="character" w:customStyle="1" w:styleId="QuoteChar1">
    <w:name w:val="Quote Char1"/>
    <w:basedOn w:val="DefaultParagraphFont"/>
    <w:uiPriority w:val="29"/>
    <w:rsid w:val="003F360A"/>
    <w:rPr>
      <w:rFonts w:ascii="Minion Pro" w:hAnsi="Minion Pro"/>
      <w:i/>
      <w:iCs/>
      <w:color w:val="404040" w:themeColor="text1" w:themeTint="BF"/>
    </w:rPr>
  </w:style>
  <w:style w:type="character" w:styleId="FollowedHyperlink">
    <w:name w:val="FollowedHyperlink"/>
    <w:basedOn w:val="DefaultParagraphFont"/>
    <w:uiPriority w:val="99"/>
    <w:rsid w:val="003F360A"/>
    <w:rPr>
      <w:color w:val="954F72" w:themeColor="followedHyperlink"/>
      <w:u w:val="single"/>
    </w:rPr>
  </w:style>
  <w:style w:type="numbering" w:customStyle="1" w:styleId="NoList3">
    <w:name w:val="No List3"/>
    <w:next w:val="NoList"/>
    <w:uiPriority w:val="99"/>
    <w:semiHidden/>
    <w:unhideWhenUsed/>
    <w:rsid w:val="003F360A"/>
  </w:style>
  <w:style w:type="character" w:styleId="EndnoteReference">
    <w:name w:val="endnote reference"/>
    <w:basedOn w:val="DefaultParagraphFont"/>
    <w:uiPriority w:val="99"/>
    <w:unhideWhenUsed/>
    <w:rsid w:val="003F360A"/>
    <w:rPr>
      <w:vertAlign w:val="superscript"/>
    </w:rPr>
  </w:style>
  <w:style w:type="numbering" w:customStyle="1" w:styleId="NoList4">
    <w:name w:val="No List4"/>
    <w:next w:val="NoList"/>
    <w:uiPriority w:val="99"/>
    <w:semiHidden/>
    <w:unhideWhenUsed/>
    <w:rsid w:val="00BD5253"/>
  </w:style>
  <w:style w:type="numbering" w:customStyle="1" w:styleId="NoList5">
    <w:name w:val="No List5"/>
    <w:next w:val="NoList"/>
    <w:uiPriority w:val="99"/>
    <w:semiHidden/>
    <w:unhideWhenUsed/>
    <w:rsid w:val="00BD5253"/>
  </w:style>
  <w:style w:type="paragraph" w:styleId="Index3">
    <w:name w:val="index 3"/>
    <w:basedOn w:val="Normal"/>
    <w:next w:val="Normal"/>
    <w:autoRedefine/>
    <w:uiPriority w:val="99"/>
    <w:rsid w:val="009804A8"/>
    <w:pPr>
      <w:spacing w:before="0" w:after="0"/>
      <w:ind w:left="600" w:hanging="200"/>
    </w:pPr>
    <w:rPr>
      <w:lang w:val="en"/>
    </w:rPr>
  </w:style>
  <w:style w:type="character" w:styleId="CommentReference">
    <w:name w:val="annotation reference"/>
    <w:basedOn w:val="DefaultParagraphFont"/>
    <w:rsid w:val="005D2ED8"/>
    <w:rPr>
      <w:sz w:val="16"/>
      <w:szCs w:val="16"/>
    </w:rPr>
  </w:style>
  <w:style w:type="paragraph" w:styleId="CommentText">
    <w:name w:val="annotation text"/>
    <w:basedOn w:val="Normal"/>
    <w:link w:val="CommentTextChar"/>
    <w:rsid w:val="005D2ED8"/>
  </w:style>
  <w:style w:type="character" w:customStyle="1" w:styleId="CommentTextChar">
    <w:name w:val="Comment Text Char"/>
    <w:basedOn w:val="DefaultParagraphFont"/>
    <w:link w:val="CommentText"/>
    <w:rsid w:val="005D2ED8"/>
    <w:rPr>
      <w:rFonts w:ascii="Minion Pro" w:hAnsi="Minion Pro"/>
    </w:rPr>
  </w:style>
  <w:style w:type="paragraph" w:styleId="CommentSubject">
    <w:name w:val="annotation subject"/>
    <w:basedOn w:val="CommentText"/>
    <w:next w:val="CommentText"/>
    <w:link w:val="CommentSubjectChar"/>
    <w:semiHidden/>
    <w:unhideWhenUsed/>
    <w:rsid w:val="005D2ED8"/>
    <w:rPr>
      <w:b/>
      <w:bCs/>
    </w:rPr>
  </w:style>
  <w:style w:type="character" w:customStyle="1" w:styleId="CommentSubjectChar">
    <w:name w:val="Comment Subject Char"/>
    <w:basedOn w:val="CommentTextChar"/>
    <w:link w:val="CommentSubject"/>
    <w:semiHidden/>
    <w:rsid w:val="005D2ED8"/>
    <w:rPr>
      <w:rFonts w:ascii="Minion Pro" w:hAnsi="Minion Pro"/>
      <w:b/>
      <w:bCs/>
    </w:rPr>
  </w:style>
  <w:style w:type="paragraph" w:customStyle="1" w:styleId="CopyrightInitial">
    <w:name w:val="Copyright Initial"/>
    <w:basedOn w:val="Normal"/>
    <w:next w:val="Copyright"/>
    <w:qFormat/>
    <w:rsid w:val="002F1592"/>
    <w:pPr>
      <w:spacing w:before="2880" w:after="0"/>
      <w:jc w:val="left"/>
    </w:pPr>
    <w:rPr>
      <w:caps/>
      <w:sz w:val="18"/>
    </w:rPr>
  </w:style>
  <w:style w:type="paragraph" w:customStyle="1" w:styleId="Copyright">
    <w:name w:val="Copyright"/>
    <w:basedOn w:val="CopyrightInitial"/>
    <w:qFormat/>
    <w:rsid w:val="002F1592"/>
    <w:pPr>
      <w:spacing w:before="120"/>
    </w:pPr>
    <w:rPr>
      <w:caps w:val="0"/>
    </w:rPr>
  </w:style>
  <w:style w:type="paragraph" w:customStyle="1" w:styleId="Author">
    <w:name w:val="Author"/>
    <w:basedOn w:val="Normal"/>
    <w:next w:val="Normal"/>
    <w:qFormat/>
    <w:rsid w:val="009F4799"/>
    <w:pPr>
      <w:spacing w:before="720" w:after="0"/>
      <w:jc w:val="center"/>
    </w:pPr>
    <w:rPr>
      <w:b/>
      <w:sz w:val="24"/>
    </w:rPr>
  </w:style>
  <w:style w:type="paragraph" w:customStyle="1" w:styleId="TitlePublisher">
    <w:name w:val="Title Publisher"/>
    <w:basedOn w:val="Normal"/>
    <w:next w:val="Normal"/>
    <w:qFormat/>
    <w:rsid w:val="009F4799"/>
    <w:pPr>
      <w:spacing w:before="6480" w:after="0"/>
      <w:jc w:val="center"/>
    </w:pPr>
  </w:style>
  <w:style w:type="character" w:customStyle="1" w:styleId="PhiloSegmentNumber">
    <w:name w:val="Philo Segment Number"/>
    <w:basedOn w:val="DefaultParagraphFont"/>
    <w:uiPriority w:val="1"/>
    <w:qFormat/>
    <w:rsid w:val="00821292"/>
    <w:rPr>
      <w:b w:val="0"/>
      <w:sz w:val="20"/>
      <w:vertAlign w:val="superscript"/>
    </w:rPr>
  </w:style>
  <w:style w:type="character" w:customStyle="1" w:styleId="JosephusBookNumber">
    <w:name w:val="Josephus Book Number"/>
    <w:basedOn w:val="DefaultParagraphFont"/>
    <w:uiPriority w:val="1"/>
    <w:qFormat/>
    <w:rsid w:val="00B124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04056">
      <w:bodyDiv w:val="1"/>
      <w:marLeft w:val="0"/>
      <w:marRight w:val="0"/>
      <w:marTop w:val="0"/>
      <w:marBottom w:val="0"/>
      <w:divBdr>
        <w:top w:val="none" w:sz="0" w:space="0" w:color="auto"/>
        <w:left w:val="none" w:sz="0" w:space="0" w:color="auto"/>
        <w:bottom w:val="none" w:sz="0" w:space="0" w:color="auto"/>
        <w:right w:val="none" w:sz="0" w:space="0" w:color="auto"/>
      </w:divBdr>
    </w:div>
    <w:div w:id="11958535">
      <w:bodyDiv w:val="1"/>
      <w:marLeft w:val="0"/>
      <w:marRight w:val="0"/>
      <w:marTop w:val="0"/>
      <w:marBottom w:val="0"/>
      <w:divBdr>
        <w:top w:val="none" w:sz="0" w:space="0" w:color="auto"/>
        <w:left w:val="none" w:sz="0" w:space="0" w:color="auto"/>
        <w:bottom w:val="none" w:sz="0" w:space="0" w:color="auto"/>
        <w:right w:val="none" w:sz="0" w:space="0" w:color="auto"/>
      </w:divBdr>
    </w:div>
    <w:div w:id="16395506">
      <w:bodyDiv w:val="1"/>
      <w:marLeft w:val="0"/>
      <w:marRight w:val="0"/>
      <w:marTop w:val="0"/>
      <w:marBottom w:val="0"/>
      <w:divBdr>
        <w:top w:val="none" w:sz="0" w:space="0" w:color="auto"/>
        <w:left w:val="none" w:sz="0" w:space="0" w:color="auto"/>
        <w:bottom w:val="none" w:sz="0" w:space="0" w:color="auto"/>
        <w:right w:val="none" w:sz="0" w:space="0" w:color="auto"/>
      </w:divBdr>
    </w:div>
    <w:div w:id="16545670">
      <w:bodyDiv w:val="1"/>
      <w:marLeft w:val="0"/>
      <w:marRight w:val="0"/>
      <w:marTop w:val="0"/>
      <w:marBottom w:val="0"/>
      <w:divBdr>
        <w:top w:val="none" w:sz="0" w:space="0" w:color="auto"/>
        <w:left w:val="none" w:sz="0" w:space="0" w:color="auto"/>
        <w:bottom w:val="none" w:sz="0" w:space="0" w:color="auto"/>
        <w:right w:val="none" w:sz="0" w:space="0" w:color="auto"/>
      </w:divBdr>
    </w:div>
    <w:div w:id="22632031">
      <w:bodyDiv w:val="1"/>
      <w:marLeft w:val="0"/>
      <w:marRight w:val="0"/>
      <w:marTop w:val="0"/>
      <w:marBottom w:val="0"/>
      <w:divBdr>
        <w:top w:val="none" w:sz="0" w:space="0" w:color="auto"/>
        <w:left w:val="none" w:sz="0" w:space="0" w:color="auto"/>
        <w:bottom w:val="none" w:sz="0" w:space="0" w:color="auto"/>
        <w:right w:val="none" w:sz="0" w:space="0" w:color="auto"/>
      </w:divBdr>
    </w:div>
    <w:div w:id="27993492">
      <w:bodyDiv w:val="1"/>
      <w:marLeft w:val="0"/>
      <w:marRight w:val="0"/>
      <w:marTop w:val="0"/>
      <w:marBottom w:val="0"/>
      <w:divBdr>
        <w:top w:val="none" w:sz="0" w:space="0" w:color="auto"/>
        <w:left w:val="none" w:sz="0" w:space="0" w:color="auto"/>
        <w:bottom w:val="none" w:sz="0" w:space="0" w:color="auto"/>
        <w:right w:val="none" w:sz="0" w:space="0" w:color="auto"/>
      </w:divBdr>
    </w:div>
    <w:div w:id="28144103">
      <w:bodyDiv w:val="1"/>
      <w:marLeft w:val="0"/>
      <w:marRight w:val="0"/>
      <w:marTop w:val="0"/>
      <w:marBottom w:val="0"/>
      <w:divBdr>
        <w:top w:val="none" w:sz="0" w:space="0" w:color="auto"/>
        <w:left w:val="none" w:sz="0" w:space="0" w:color="auto"/>
        <w:bottom w:val="none" w:sz="0" w:space="0" w:color="auto"/>
        <w:right w:val="none" w:sz="0" w:space="0" w:color="auto"/>
      </w:divBdr>
    </w:div>
    <w:div w:id="29455850">
      <w:bodyDiv w:val="1"/>
      <w:marLeft w:val="0"/>
      <w:marRight w:val="0"/>
      <w:marTop w:val="0"/>
      <w:marBottom w:val="0"/>
      <w:divBdr>
        <w:top w:val="none" w:sz="0" w:space="0" w:color="auto"/>
        <w:left w:val="none" w:sz="0" w:space="0" w:color="auto"/>
        <w:bottom w:val="none" w:sz="0" w:space="0" w:color="auto"/>
        <w:right w:val="none" w:sz="0" w:space="0" w:color="auto"/>
      </w:divBdr>
    </w:div>
    <w:div w:id="29573185">
      <w:bodyDiv w:val="1"/>
      <w:marLeft w:val="0"/>
      <w:marRight w:val="0"/>
      <w:marTop w:val="0"/>
      <w:marBottom w:val="0"/>
      <w:divBdr>
        <w:top w:val="none" w:sz="0" w:space="0" w:color="auto"/>
        <w:left w:val="none" w:sz="0" w:space="0" w:color="auto"/>
        <w:bottom w:val="none" w:sz="0" w:space="0" w:color="auto"/>
        <w:right w:val="none" w:sz="0" w:space="0" w:color="auto"/>
      </w:divBdr>
    </w:div>
    <w:div w:id="36703297">
      <w:bodyDiv w:val="1"/>
      <w:marLeft w:val="0"/>
      <w:marRight w:val="0"/>
      <w:marTop w:val="0"/>
      <w:marBottom w:val="0"/>
      <w:divBdr>
        <w:top w:val="none" w:sz="0" w:space="0" w:color="auto"/>
        <w:left w:val="none" w:sz="0" w:space="0" w:color="auto"/>
        <w:bottom w:val="none" w:sz="0" w:space="0" w:color="auto"/>
        <w:right w:val="none" w:sz="0" w:space="0" w:color="auto"/>
      </w:divBdr>
    </w:div>
    <w:div w:id="37819383">
      <w:bodyDiv w:val="1"/>
      <w:marLeft w:val="0"/>
      <w:marRight w:val="0"/>
      <w:marTop w:val="0"/>
      <w:marBottom w:val="0"/>
      <w:divBdr>
        <w:top w:val="none" w:sz="0" w:space="0" w:color="auto"/>
        <w:left w:val="none" w:sz="0" w:space="0" w:color="auto"/>
        <w:bottom w:val="none" w:sz="0" w:space="0" w:color="auto"/>
        <w:right w:val="none" w:sz="0" w:space="0" w:color="auto"/>
      </w:divBdr>
    </w:div>
    <w:div w:id="39211279">
      <w:bodyDiv w:val="1"/>
      <w:marLeft w:val="0"/>
      <w:marRight w:val="0"/>
      <w:marTop w:val="0"/>
      <w:marBottom w:val="0"/>
      <w:divBdr>
        <w:top w:val="none" w:sz="0" w:space="0" w:color="auto"/>
        <w:left w:val="none" w:sz="0" w:space="0" w:color="auto"/>
        <w:bottom w:val="none" w:sz="0" w:space="0" w:color="auto"/>
        <w:right w:val="none" w:sz="0" w:space="0" w:color="auto"/>
      </w:divBdr>
    </w:div>
    <w:div w:id="40860824">
      <w:bodyDiv w:val="1"/>
      <w:marLeft w:val="0"/>
      <w:marRight w:val="0"/>
      <w:marTop w:val="0"/>
      <w:marBottom w:val="0"/>
      <w:divBdr>
        <w:top w:val="none" w:sz="0" w:space="0" w:color="auto"/>
        <w:left w:val="none" w:sz="0" w:space="0" w:color="auto"/>
        <w:bottom w:val="none" w:sz="0" w:space="0" w:color="auto"/>
        <w:right w:val="none" w:sz="0" w:space="0" w:color="auto"/>
      </w:divBdr>
    </w:div>
    <w:div w:id="41557859">
      <w:bodyDiv w:val="1"/>
      <w:marLeft w:val="0"/>
      <w:marRight w:val="0"/>
      <w:marTop w:val="0"/>
      <w:marBottom w:val="0"/>
      <w:divBdr>
        <w:top w:val="none" w:sz="0" w:space="0" w:color="auto"/>
        <w:left w:val="none" w:sz="0" w:space="0" w:color="auto"/>
        <w:bottom w:val="none" w:sz="0" w:space="0" w:color="auto"/>
        <w:right w:val="none" w:sz="0" w:space="0" w:color="auto"/>
      </w:divBdr>
    </w:div>
    <w:div w:id="49576493">
      <w:bodyDiv w:val="1"/>
      <w:marLeft w:val="0"/>
      <w:marRight w:val="0"/>
      <w:marTop w:val="0"/>
      <w:marBottom w:val="0"/>
      <w:divBdr>
        <w:top w:val="none" w:sz="0" w:space="0" w:color="auto"/>
        <w:left w:val="none" w:sz="0" w:space="0" w:color="auto"/>
        <w:bottom w:val="none" w:sz="0" w:space="0" w:color="auto"/>
        <w:right w:val="none" w:sz="0" w:space="0" w:color="auto"/>
      </w:divBdr>
    </w:div>
    <w:div w:id="58528412">
      <w:bodyDiv w:val="1"/>
      <w:marLeft w:val="0"/>
      <w:marRight w:val="0"/>
      <w:marTop w:val="0"/>
      <w:marBottom w:val="0"/>
      <w:divBdr>
        <w:top w:val="none" w:sz="0" w:space="0" w:color="auto"/>
        <w:left w:val="none" w:sz="0" w:space="0" w:color="auto"/>
        <w:bottom w:val="none" w:sz="0" w:space="0" w:color="auto"/>
        <w:right w:val="none" w:sz="0" w:space="0" w:color="auto"/>
      </w:divBdr>
    </w:div>
    <w:div w:id="59715085">
      <w:bodyDiv w:val="1"/>
      <w:marLeft w:val="0"/>
      <w:marRight w:val="0"/>
      <w:marTop w:val="0"/>
      <w:marBottom w:val="0"/>
      <w:divBdr>
        <w:top w:val="none" w:sz="0" w:space="0" w:color="auto"/>
        <w:left w:val="none" w:sz="0" w:space="0" w:color="auto"/>
        <w:bottom w:val="none" w:sz="0" w:space="0" w:color="auto"/>
        <w:right w:val="none" w:sz="0" w:space="0" w:color="auto"/>
      </w:divBdr>
    </w:div>
    <w:div w:id="69350277">
      <w:bodyDiv w:val="1"/>
      <w:marLeft w:val="0"/>
      <w:marRight w:val="0"/>
      <w:marTop w:val="0"/>
      <w:marBottom w:val="0"/>
      <w:divBdr>
        <w:top w:val="none" w:sz="0" w:space="0" w:color="auto"/>
        <w:left w:val="none" w:sz="0" w:space="0" w:color="auto"/>
        <w:bottom w:val="none" w:sz="0" w:space="0" w:color="auto"/>
        <w:right w:val="none" w:sz="0" w:space="0" w:color="auto"/>
      </w:divBdr>
    </w:div>
    <w:div w:id="75133203">
      <w:bodyDiv w:val="1"/>
      <w:marLeft w:val="0"/>
      <w:marRight w:val="0"/>
      <w:marTop w:val="0"/>
      <w:marBottom w:val="0"/>
      <w:divBdr>
        <w:top w:val="none" w:sz="0" w:space="0" w:color="auto"/>
        <w:left w:val="none" w:sz="0" w:space="0" w:color="auto"/>
        <w:bottom w:val="none" w:sz="0" w:space="0" w:color="auto"/>
        <w:right w:val="none" w:sz="0" w:space="0" w:color="auto"/>
      </w:divBdr>
    </w:div>
    <w:div w:id="76634262">
      <w:bodyDiv w:val="1"/>
      <w:marLeft w:val="0"/>
      <w:marRight w:val="0"/>
      <w:marTop w:val="0"/>
      <w:marBottom w:val="0"/>
      <w:divBdr>
        <w:top w:val="none" w:sz="0" w:space="0" w:color="auto"/>
        <w:left w:val="none" w:sz="0" w:space="0" w:color="auto"/>
        <w:bottom w:val="none" w:sz="0" w:space="0" w:color="auto"/>
        <w:right w:val="none" w:sz="0" w:space="0" w:color="auto"/>
      </w:divBdr>
    </w:div>
    <w:div w:id="77484348">
      <w:bodyDiv w:val="1"/>
      <w:marLeft w:val="0"/>
      <w:marRight w:val="0"/>
      <w:marTop w:val="0"/>
      <w:marBottom w:val="0"/>
      <w:divBdr>
        <w:top w:val="none" w:sz="0" w:space="0" w:color="auto"/>
        <w:left w:val="none" w:sz="0" w:space="0" w:color="auto"/>
        <w:bottom w:val="none" w:sz="0" w:space="0" w:color="auto"/>
        <w:right w:val="none" w:sz="0" w:space="0" w:color="auto"/>
      </w:divBdr>
    </w:div>
    <w:div w:id="78409987">
      <w:bodyDiv w:val="1"/>
      <w:marLeft w:val="0"/>
      <w:marRight w:val="0"/>
      <w:marTop w:val="0"/>
      <w:marBottom w:val="0"/>
      <w:divBdr>
        <w:top w:val="none" w:sz="0" w:space="0" w:color="auto"/>
        <w:left w:val="none" w:sz="0" w:space="0" w:color="auto"/>
        <w:bottom w:val="none" w:sz="0" w:space="0" w:color="auto"/>
        <w:right w:val="none" w:sz="0" w:space="0" w:color="auto"/>
      </w:divBdr>
    </w:div>
    <w:div w:id="80227844">
      <w:bodyDiv w:val="1"/>
      <w:marLeft w:val="0"/>
      <w:marRight w:val="0"/>
      <w:marTop w:val="0"/>
      <w:marBottom w:val="0"/>
      <w:divBdr>
        <w:top w:val="none" w:sz="0" w:space="0" w:color="auto"/>
        <w:left w:val="none" w:sz="0" w:space="0" w:color="auto"/>
        <w:bottom w:val="none" w:sz="0" w:space="0" w:color="auto"/>
        <w:right w:val="none" w:sz="0" w:space="0" w:color="auto"/>
      </w:divBdr>
    </w:div>
    <w:div w:id="81535468">
      <w:bodyDiv w:val="1"/>
      <w:marLeft w:val="0"/>
      <w:marRight w:val="0"/>
      <w:marTop w:val="0"/>
      <w:marBottom w:val="0"/>
      <w:divBdr>
        <w:top w:val="none" w:sz="0" w:space="0" w:color="auto"/>
        <w:left w:val="none" w:sz="0" w:space="0" w:color="auto"/>
        <w:bottom w:val="none" w:sz="0" w:space="0" w:color="auto"/>
        <w:right w:val="none" w:sz="0" w:space="0" w:color="auto"/>
      </w:divBdr>
    </w:div>
    <w:div w:id="88543987">
      <w:bodyDiv w:val="1"/>
      <w:marLeft w:val="0"/>
      <w:marRight w:val="0"/>
      <w:marTop w:val="0"/>
      <w:marBottom w:val="0"/>
      <w:divBdr>
        <w:top w:val="none" w:sz="0" w:space="0" w:color="auto"/>
        <w:left w:val="none" w:sz="0" w:space="0" w:color="auto"/>
        <w:bottom w:val="none" w:sz="0" w:space="0" w:color="auto"/>
        <w:right w:val="none" w:sz="0" w:space="0" w:color="auto"/>
      </w:divBdr>
    </w:div>
    <w:div w:id="94832594">
      <w:bodyDiv w:val="1"/>
      <w:marLeft w:val="0"/>
      <w:marRight w:val="0"/>
      <w:marTop w:val="0"/>
      <w:marBottom w:val="0"/>
      <w:divBdr>
        <w:top w:val="none" w:sz="0" w:space="0" w:color="auto"/>
        <w:left w:val="none" w:sz="0" w:space="0" w:color="auto"/>
        <w:bottom w:val="none" w:sz="0" w:space="0" w:color="auto"/>
        <w:right w:val="none" w:sz="0" w:space="0" w:color="auto"/>
      </w:divBdr>
    </w:div>
    <w:div w:id="96222372">
      <w:bodyDiv w:val="1"/>
      <w:marLeft w:val="0"/>
      <w:marRight w:val="0"/>
      <w:marTop w:val="0"/>
      <w:marBottom w:val="0"/>
      <w:divBdr>
        <w:top w:val="none" w:sz="0" w:space="0" w:color="auto"/>
        <w:left w:val="none" w:sz="0" w:space="0" w:color="auto"/>
        <w:bottom w:val="none" w:sz="0" w:space="0" w:color="auto"/>
        <w:right w:val="none" w:sz="0" w:space="0" w:color="auto"/>
      </w:divBdr>
    </w:div>
    <w:div w:id="105320772">
      <w:bodyDiv w:val="1"/>
      <w:marLeft w:val="0"/>
      <w:marRight w:val="0"/>
      <w:marTop w:val="0"/>
      <w:marBottom w:val="0"/>
      <w:divBdr>
        <w:top w:val="none" w:sz="0" w:space="0" w:color="auto"/>
        <w:left w:val="none" w:sz="0" w:space="0" w:color="auto"/>
        <w:bottom w:val="none" w:sz="0" w:space="0" w:color="auto"/>
        <w:right w:val="none" w:sz="0" w:space="0" w:color="auto"/>
      </w:divBdr>
    </w:div>
    <w:div w:id="107311499">
      <w:bodyDiv w:val="1"/>
      <w:marLeft w:val="0"/>
      <w:marRight w:val="0"/>
      <w:marTop w:val="0"/>
      <w:marBottom w:val="0"/>
      <w:divBdr>
        <w:top w:val="none" w:sz="0" w:space="0" w:color="auto"/>
        <w:left w:val="none" w:sz="0" w:space="0" w:color="auto"/>
        <w:bottom w:val="none" w:sz="0" w:space="0" w:color="auto"/>
        <w:right w:val="none" w:sz="0" w:space="0" w:color="auto"/>
      </w:divBdr>
    </w:div>
    <w:div w:id="111364741">
      <w:bodyDiv w:val="1"/>
      <w:marLeft w:val="0"/>
      <w:marRight w:val="0"/>
      <w:marTop w:val="0"/>
      <w:marBottom w:val="0"/>
      <w:divBdr>
        <w:top w:val="none" w:sz="0" w:space="0" w:color="auto"/>
        <w:left w:val="none" w:sz="0" w:space="0" w:color="auto"/>
        <w:bottom w:val="none" w:sz="0" w:space="0" w:color="auto"/>
        <w:right w:val="none" w:sz="0" w:space="0" w:color="auto"/>
      </w:divBdr>
    </w:div>
    <w:div w:id="116072716">
      <w:bodyDiv w:val="1"/>
      <w:marLeft w:val="0"/>
      <w:marRight w:val="0"/>
      <w:marTop w:val="0"/>
      <w:marBottom w:val="0"/>
      <w:divBdr>
        <w:top w:val="none" w:sz="0" w:space="0" w:color="auto"/>
        <w:left w:val="none" w:sz="0" w:space="0" w:color="auto"/>
        <w:bottom w:val="none" w:sz="0" w:space="0" w:color="auto"/>
        <w:right w:val="none" w:sz="0" w:space="0" w:color="auto"/>
      </w:divBdr>
    </w:div>
    <w:div w:id="117186678">
      <w:bodyDiv w:val="1"/>
      <w:marLeft w:val="0"/>
      <w:marRight w:val="0"/>
      <w:marTop w:val="0"/>
      <w:marBottom w:val="0"/>
      <w:divBdr>
        <w:top w:val="none" w:sz="0" w:space="0" w:color="auto"/>
        <w:left w:val="none" w:sz="0" w:space="0" w:color="auto"/>
        <w:bottom w:val="none" w:sz="0" w:space="0" w:color="auto"/>
        <w:right w:val="none" w:sz="0" w:space="0" w:color="auto"/>
      </w:divBdr>
    </w:div>
    <w:div w:id="117795271">
      <w:bodyDiv w:val="1"/>
      <w:marLeft w:val="0"/>
      <w:marRight w:val="0"/>
      <w:marTop w:val="0"/>
      <w:marBottom w:val="0"/>
      <w:divBdr>
        <w:top w:val="none" w:sz="0" w:space="0" w:color="auto"/>
        <w:left w:val="none" w:sz="0" w:space="0" w:color="auto"/>
        <w:bottom w:val="none" w:sz="0" w:space="0" w:color="auto"/>
        <w:right w:val="none" w:sz="0" w:space="0" w:color="auto"/>
      </w:divBdr>
    </w:div>
    <w:div w:id="120655401">
      <w:bodyDiv w:val="1"/>
      <w:marLeft w:val="0"/>
      <w:marRight w:val="0"/>
      <w:marTop w:val="0"/>
      <w:marBottom w:val="0"/>
      <w:divBdr>
        <w:top w:val="none" w:sz="0" w:space="0" w:color="auto"/>
        <w:left w:val="none" w:sz="0" w:space="0" w:color="auto"/>
        <w:bottom w:val="none" w:sz="0" w:space="0" w:color="auto"/>
        <w:right w:val="none" w:sz="0" w:space="0" w:color="auto"/>
      </w:divBdr>
    </w:div>
    <w:div w:id="124398244">
      <w:bodyDiv w:val="1"/>
      <w:marLeft w:val="0"/>
      <w:marRight w:val="0"/>
      <w:marTop w:val="0"/>
      <w:marBottom w:val="0"/>
      <w:divBdr>
        <w:top w:val="none" w:sz="0" w:space="0" w:color="auto"/>
        <w:left w:val="none" w:sz="0" w:space="0" w:color="auto"/>
        <w:bottom w:val="none" w:sz="0" w:space="0" w:color="auto"/>
        <w:right w:val="none" w:sz="0" w:space="0" w:color="auto"/>
      </w:divBdr>
    </w:div>
    <w:div w:id="125662228">
      <w:bodyDiv w:val="1"/>
      <w:marLeft w:val="0"/>
      <w:marRight w:val="0"/>
      <w:marTop w:val="0"/>
      <w:marBottom w:val="0"/>
      <w:divBdr>
        <w:top w:val="none" w:sz="0" w:space="0" w:color="auto"/>
        <w:left w:val="none" w:sz="0" w:space="0" w:color="auto"/>
        <w:bottom w:val="none" w:sz="0" w:space="0" w:color="auto"/>
        <w:right w:val="none" w:sz="0" w:space="0" w:color="auto"/>
      </w:divBdr>
    </w:div>
    <w:div w:id="128673549">
      <w:bodyDiv w:val="1"/>
      <w:marLeft w:val="0"/>
      <w:marRight w:val="0"/>
      <w:marTop w:val="0"/>
      <w:marBottom w:val="0"/>
      <w:divBdr>
        <w:top w:val="none" w:sz="0" w:space="0" w:color="auto"/>
        <w:left w:val="none" w:sz="0" w:space="0" w:color="auto"/>
        <w:bottom w:val="none" w:sz="0" w:space="0" w:color="auto"/>
        <w:right w:val="none" w:sz="0" w:space="0" w:color="auto"/>
      </w:divBdr>
    </w:div>
    <w:div w:id="130562927">
      <w:bodyDiv w:val="1"/>
      <w:marLeft w:val="0"/>
      <w:marRight w:val="0"/>
      <w:marTop w:val="0"/>
      <w:marBottom w:val="0"/>
      <w:divBdr>
        <w:top w:val="none" w:sz="0" w:space="0" w:color="auto"/>
        <w:left w:val="none" w:sz="0" w:space="0" w:color="auto"/>
        <w:bottom w:val="none" w:sz="0" w:space="0" w:color="auto"/>
        <w:right w:val="none" w:sz="0" w:space="0" w:color="auto"/>
      </w:divBdr>
    </w:div>
    <w:div w:id="132796910">
      <w:bodyDiv w:val="1"/>
      <w:marLeft w:val="0"/>
      <w:marRight w:val="0"/>
      <w:marTop w:val="0"/>
      <w:marBottom w:val="0"/>
      <w:divBdr>
        <w:top w:val="none" w:sz="0" w:space="0" w:color="auto"/>
        <w:left w:val="none" w:sz="0" w:space="0" w:color="auto"/>
        <w:bottom w:val="none" w:sz="0" w:space="0" w:color="auto"/>
        <w:right w:val="none" w:sz="0" w:space="0" w:color="auto"/>
      </w:divBdr>
    </w:div>
    <w:div w:id="135414929">
      <w:bodyDiv w:val="1"/>
      <w:marLeft w:val="0"/>
      <w:marRight w:val="0"/>
      <w:marTop w:val="0"/>
      <w:marBottom w:val="0"/>
      <w:divBdr>
        <w:top w:val="none" w:sz="0" w:space="0" w:color="auto"/>
        <w:left w:val="none" w:sz="0" w:space="0" w:color="auto"/>
        <w:bottom w:val="none" w:sz="0" w:space="0" w:color="auto"/>
        <w:right w:val="none" w:sz="0" w:space="0" w:color="auto"/>
      </w:divBdr>
    </w:div>
    <w:div w:id="146212528">
      <w:bodyDiv w:val="1"/>
      <w:marLeft w:val="0"/>
      <w:marRight w:val="0"/>
      <w:marTop w:val="0"/>
      <w:marBottom w:val="0"/>
      <w:divBdr>
        <w:top w:val="none" w:sz="0" w:space="0" w:color="auto"/>
        <w:left w:val="none" w:sz="0" w:space="0" w:color="auto"/>
        <w:bottom w:val="none" w:sz="0" w:space="0" w:color="auto"/>
        <w:right w:val="none" w:sz="0" w:space="0" w:color="auto"/>
      </w:divBdr>
    </w:div>
    <w:div w:id="147141009">
      <w:bodyDiv w:val="1"/>
      <w:marLeft w:val="0"/>
      <w:marRight w:val="0"/>
      <w:marTop w:val="0"/>
      <w:marBottom w:val="0"/>
      <w:divBdr>
        <w:top w:val="none" w:sz="0" w:space="0" w:color="auto"/>
        <w:left w:val="none" w:sz="0" w:space="0" w:color="auto"/>
        <w:bottom w:val="none" w:sz="0" w:space="0" w:color="auto"/>
        <w:right w:val="none" w:sz="0" w:space="0" w:color="auto"/>
      </w:divBdr>
    </w:div>
    <w:div w:id="150368102">
      <w:bodyDiv w:val="1"/>
      <w:marLeft w:val="0"/>
      <w:marRight w:val="0"/>
      <w:marTop w:val="0"/>
      <w:marBottom w:val="0"/>
      <w:divBdr>
        <w:top w:val="none" w:sz="0" w:space="0" w:color="auto"/>
        <w:left w:val="none" w:sz="0" w:space="0" w:color="auto"/>
        <w:bottom w:val="none" w:sz="0" w:space="0" w:color="auto"/>
        <w:right w:val="none" w:sz="0" w:space="0" w:color="auto"/>
      </w:divBdr>
    </w:div>
    <w:div w:id="150799110">
      <w:bodyDiv w:val="1"/>
      <w:marLeft w:val="0"/>
      <w:marRight w:val="0"/>
      <w:marTop w:val="0"/>
      <w:marBottom w:val="0"/>
      <w:divBdr>
        <w:top w:val="none" w:sz="0" w:space="0" w:color="auto"/>
        <w:left w:val="none" w:sz="0" w:space="0" w:color="auto"/>
        <w:bottom w:val="none" w:sz="0" w:space="0" w:color="auto"/>
        <w:right w:val="none" w:sz="0" w:space="0" w:color="auto"/>
      </w:divBdr>
    </w:div>
    <w:div w:id="158691837">
      <w:bodyDiv w:val="1"/>
      <w:marLeft w:val="0"/>
      <w:marRight w:val="0"/>
      <w:marTop w:val="0"/>
      <w:marBottom w:val="0"/>
      <w:divBdr>
        <w:top w:val="none" w:sz="0" w:space="0" w:color="auto"/>
        <w:left w:val="none" w:sz="0" w:space="0" w:color="auto"/>
        <w:bottom w:val="none" w:sz="0" w:space="0" w:color="auto"/>
        <w:right w:val="none" w:sz="0" w:space="0" w:color="auto"/>
      </w:divBdr>
    </w:div>
    <w:div w:id="159973487">
      <w:bodyDiv w:val="1"/>
      <w:marLeft w:val="0"/>
      <w:marRight w:val="0"/>
      <w:marTop w:val="0"/>
      <w:marBottom w:val="0"/>
      <w:divBdr>
        <w:top w:val="none" w:sz="0" w:space="0" w:color="auto"/>
        <w:left w:val="none" w:sz="0" w:space="0" w:color="auto"/>
        <w:bottom w:val="none" w:sz="0" w:space="0" w:color="auto"/>
        <w:right w:val="none" w:sz="0" w:space="0" w:color="auto"/>
      </w:divBdr>
    </w:div>
    <w:div w:id="166792813">
      <w:bodyDiv w:val="1"/>
      <w:marLeft w:val="0"/>
      <w:marRight w:val="0"/>
      <w:marTop w:val="0"/>
      <w:marBottom w:val="0"/>
      <w:divBdr>
        <w:top w:val="none" w:sz="0" w:space="0" w:color="auto"/>
        <w:left w:val="none" w:sz="0" w:space="0" w:color="auto"/>
        <w:bottom w:val="none" w:sz="0" w:space="0" w:color="auto"/>
        <w:right w:val="none" w:sz="0" w:space="0" w:color="auto"/>
      </w:divBdr>
    </w:div>
    <w:div w:id="169487790">
      <w:bodyDiv w:val="1"/>
      <w:marLeft w:val="0"/>
      <w:marRight w:val="0"/>
      <w:marTop w:val="0"/>
      <w:marBottom w:val="0"/>
      <w:divBdr>
        <w:top w:val="none" w:sz="0" w:space="0" w:color="auto"/>
        <w:left w:val="none" w:sz="0" w:space="0" w:color="auto"/>
        <w:bottom w:val="none" w:sz="0" w:space="0" w:color="auto"/>
        <w:right w:val="none" w:sz="0" w:space="0" w:color="auto"/>
      </w:divBdr>
    </w:div>
    <w:div w:id="170881294">
      <w:bodyDiv w:val="1"/>
      <w:marLeft w:val="0"/>
      <w:marRight w:val="0"/>
      <w:marTop w:val="0"/>
      <w:marBottom w:val="0"/>
      <w:divBdr>
        <w:top w:val="none" w:sz="0" w:space="0" w:color="auto"/>
        <w:left w:val="none" w:sz="0" w:space="0" w:color="auto"/>
        <w:bottom w:val="none" w:sz="0" w:space="0" w:color="auto"/>
        <w:right w:val="none" w:sz="0" w:space="0" w:color="auto"/>
      </w:divBdr>
    </w:div>
    <w:div w:id="173612010">
      <w:bodyDiv w:val="1"/>
      <w:marLeft w:val="0"/>
      <w:marRight w:val="0"/>
      <w:marTop w:val="0"/>
      <w:marBottom w:val="0"/>
      <w:divBdr>
        <w:top w:val="none" w:sz="0" w:space="0" w:color="auto"/>
        <w:left w:val="none" w:sz="0" w:space="0" w:color="auto"/>
        <w:bottom w:val="none" w:sz="0" w:space="0" w:color="auto"/>
        <w:right w:val="none" w:sz="0" w:space="0" w:color="auto"/>
      </w:divBdr>
    </w:div>
    <w:div w:id="175315864">
      <w:bodyDiv w:val="1"/>
      <w:marLeft w:val="0"/>
      <w:marRight w:val="0"/>
      <w:marTop w:val="0"/>
      <w:marBottom w:val="0"/>
      <w:divBdr>
        <w:top w:val="none" w:sz="0" w:space="0" w:color="auto"/>
        <w:left w:val="none" w:sz="0" w:space="0" w:color="auto"/>
        <w:bottom w:val="none" w:sz="0" w:space="0" w:color="auto"/>
        <w:right w:val="none" w:sz="0" w:space="0" w:color="auto"/>
      </w:divBdr>
    </w:div>
    <w:div w:id="176970718">
      <w:bodyDiv w:val="1"/>
      <w:marLeft w:val="0"/>
      <w:marRight w:val="0"/>
      <w:marTop w:val="0"/>
      <w:marBottom w:val="0"/>
      <w:divBdr>
        <w:top w:val="none" w:sz="0" w:space="0" w:color="auto"/>
        <w:left w:val="none" w:sz="0" w:space="0" w:color="auto"/>
        <w:bottom w:val="none" w:sz="0" w:space="0" w:color="auto"/>
        <w:right w:val="none" w:sz="0" w:space="0" w:color="auto"/>
      </w:divBdr>
    </w:div>
    <w:div w:id="178738468">
      <w:bodyDiv w:val="1"/>
      <w:marLeft w:val="0"/>
      <w:marRight w:val="0"/>
      <w:marTop w:val="0"/>
      <w:marBottom w:val="0"/>
      <w:divBdr>
        <w:top w:val="none" w:sz="0" w:space="0" w:color="auto"/>
        <w:left w:val="none" w:sz="0" w:space="0" w:color="auto"/>
        <w:bottom w:val="none" w:sz="0" w:space="0" w:color="auto"/>
        <w:right w:val="none" w:sz="0" w:space="0" w:color="auto"/>
      </w:divBdr>
    </w:div>
    <w:div w:id="180631583">
      <w:bodyDiv w:val="1"/>
      <w:marLeft w:val="0"/>
      <w:marRight w:val="0"/>
      <w:marTop w:val="0"/>
      <w:marBottom w:val="0"/>
      <w:divBdr>
        <w:top w:val="none" w:sz="0" w:space="0" w:color="auto"/>
        <w:left w:val="none" w:sz="0" w:space="0" w:color="auto"/>
        <w:bottom w:val="none" w:sz="0" w:space="0" w:color="auto"/>
        <w:right w:val="none" w:sz="0" w:space="0" w:color="auto"/>
      </w:divBdr>
    </w:div>
    <w:div w:id="185220502">
      <w:bodyDiv w:val="1"/>
      <w:marLeft w:val="0"/>
      <w:marRight w:val="0"/>
      <w:marTop w:val="0"/>
      <w:marBottom w:val="0"/>
      <w:divBdr>
        <w:top w:val="none" w:sz="0" w:space="0" w:color="auto"/>
        <w:left w:val="none" w:sz="0" w:space="0" w:color="auto"/>
        <w:bottom w:val="none" w:sz="0" w:space="0" w:color="auto"/>
        <w:right w:val="none" w:sz="0" w:space="0" w:color="auto"/>
      </w:divBdr>
    </w:div>
    <w:div w:id="190191501">
      <w:bodyDiv w:val="1"/>
      <w:marLeft w:val="0"/>
      <w:marRight w:val="0"/>
      <w:marTop w:val="0"/>
      <w:marBottom w:val="0"/>
      <w:divBdr>
        <w:top w:val="none" w:sz="0" w:space="0" w:color="auto"/>
        <w:left w:val="none" w:sz="0" w:space="0" w:color="auto"/>
        <w:bottom w:val="none" w:sz="0" w:space="0" w:color="auto"/>
        <w:right w:val="none" w:sz="0" w:space="0" w:color="auto"/>
      </w:divBdr>
    </w:div>
    <w:div w:id="195122942">
      <w:bodyDiv w:val="1"/>
      <w:marLeft w:val="0"/>
      <w:marRight w:val="0"/>
      <w:marTop w:val="0"/>
      <w:marBottom w:val="0"/>
      <w:divBdr>
        <w:top w:val="none" w:sz="0" w:space="0" w:color="auto"/>
        <w:left w:val="none" w:sz="0" w:space="0" w:color="auto"/>
        <w:bottom w:val="none" w:sz="0" w:space="0" w:color="auto"/>
        <w:right w:val="none" w:sz="0" w:space="0" w:color="auto"/>
      </w:divBdr>
    </w:div>
    <w:div w:id="204221935">
      <w:bodyDiv w:val="1"/>
      <w:marLeft w:val="0"/>
      <w:marRight w:val="0"/>
      <w:marTop w:val="0"/>
      <w:marBottom w:val="0"/>
      <w:divBdr>
        <w:top w:val="none" w:sz="0" w:space="0" w:color="auto"/>
        <w:left w:val="none" w:sz="0" w:space="0" w:color="auto"/>
        <w:bottom w:val="none" w:sz="0" w:space="0" w:color="auto"/>
        <w:right w:val="none" w:sz="0" w:space="0" w:color="auto"/>
      </w:divBdr>
    </w:div>
    <w:div w:id="209196625">
      <w:bodyDiv w:val="1"/>
      <w:marLeft w:val="0"/>
      <w:marRight w:val="0"/>
      <w:marTop w:val="0"/>
      <w:marBottom w:val="0"/>
      <w:divBdr>
        <w:top w:val="none" w:sz="0" w:space="0" w:color="auto"/>
        <w:left w:val="none" w:sz="0" w:space="0" w:color="auto"/>
        <w:bottom w:val="none" w:sz="0" w:space="0" w:color="auto"/>
        <w:right w:val="none" w:sz="0" w:space="0" w:color="auto"/>
      </w:divBdr>
    </w:div>
    <w:div w:id="219170653">
      <w:bodyDiv w:val="1"/>
      <w:marLeft w:val="0"/>
      <w:marRight w:val="0"/>
      <w:marTop w:val="0"/>
      <w:marBottom w:val="0"/>
      <w:divBdr>
        <w:top w:val="none" w:sz="0" w:space="0" w:color="auto"/>
        <w:left w:val="none" w:sz="0" w:space="0" w:color="auto"/>
        <w:bottom w:val="none" w:sz="0" w:space="0" w:color="auto"/>
        <w:right w:val="none" w:sz="0" w:space="0" w:color="auto"/>
      </w:divBdr>
    </w:div>
    <w:div w:id="219677815">
      <w:bodyDiv w:val="1"/>
      <w:marLeft w:val="0"/>
      <w:marRight w:val="0"/>
      <w:marTop w:val="0"/>
      <w:marBottom w:val="0"/>
      <w:divBdr>
        <w:top w:val="none" w:sz="0" w:space="0" w:color="auto"/>
        <w:left w:val="none" w:sz="0" w:space="0" w:color="auto"/>
        <w:bottom w:val="none" w:sz="0" w:space="0" w:color="auto"/>
        <w:right w:val="none" w:sz="0" w:space="0" w:color="auto"/>
      </w:divBdr>
    </w:div>
    <w:div w:id="224528355">
      <w:bodyDiv w:val="1"/>
      <w:marLeft w:val="0"/>
      <w:marRight w:val="0"/>
      <w:marTop w:val="0"/>
      <w:marBottom w:val="0"/>
      <w:divBdr>
        <w:top w:val="none" w:sz="0" w:space="0" w:color="auto"/>
        <w:left w:val="none" w:sz="0" w:space="0" w:color="auto"/>
        <w:bottom w:val="none" w:sz="0" w:space="0" w:color="auto"/>
        <w:right w:val="none" w:sz="0" w:space="0" w:color="auto"/>
      </w:divBdr>
    </w:div>
    <w:div w:id="224535704">
      <w:bodyDiv w:val="1"/>
      <w:marLeft w:val="0"/>
      <w:marRight w:val="0"/>
      <w:marTop w:val="0"/>
      <w:marBottom w:val="0"/>
      <w:divBdr>
        <w:top w:val="none" w:sz="0" w:space="0" w:color="auto"/>
        <w:left w:val="none" w:sz="0" w:space="0" w:color="auto"/>
        <w:bottom w:val="none" w:sz="0" w:space="0" w:color="auto"/>
        <w:right w:val="none" w:sz="0" w:space="0" w:color="auto"/>
      </w:divBdr>
    </w:div>
    <w:div w:id="228542364">
      <w:bodyDiv w:val="1"/>
      <w:marLeft w:val="0"/>
      <w:marRight w:val="0"/>
      <w:marTop w:val="0"/>
      <w:marBottom w:val="0"/>
      <w:divBdr>
        <w:top w:val="none" w:sz="0" w:space="0" w:color="auto"/>
        <w:left w:val="none" w:sz="0" w:space="0" w:color="auto"/>
        <w:bottom w:val="none" w:sz="0" w:space="0" w:color="auto"/>
        <w:right w:val="none" w:sz="0" w:space="0" w:color="auto"/>
      </w:divBdr>
    </w:div>
    <w:div w:id="237327129">
      <w:bodyDiv w:val="1"/>
      <w:marLeft w:val="0"/>
      <w:marRight w:val="0"/>
      <w:marTop w:val="0"/>
      <w:marBottom w:val="0"/>
      <w:divBdr>
        <w:top w:val="none" w:sz="0" w:space="0" w:color="auto"/>
        <w:left w:val="none" w:sz="0" w:space="0" w:color="auto"/>
        <w:bottom w:val="none" w:sz="0" w:space="0" w:color="auto"/>
        <w:right w:val="none" w:sz="0" w:space="0" w:color="auto"/>
      </w:divBdr>
    </w:div>
    <w:div w:id="238446937">
      <w:bodyDiv w:val="1"/>
      <w:marLeft w:val="0"/>
      <w:marRight w:val="0"/>
      <w:marTop w:val="0"/>
      <w:marBottom w:val="0"/>
      <w:divBdr>
        <w:top w:val="none" w:sz="0" w:space="0" w:color="auto"/>
        <w:left w:val="none" w:sz="0" w:space="0" w:color="auto"/>
        <w:bottom w:val="none" w:sz="0" w:space="0" w:color="auto"/>
        <w:right w:val="none" w:sz="0" w:space="0" w:color="auto"/>
      </w:divBdr>
    </w:div>
    <w:div w:id="239368989">
      <w:bodyDiv w:val="1"/>
      <w:marLeft w:val="0"/>
      <w:marRight w:val="0"/>
      <w:marTop w:val="0"/>
      <w:marBottom w:val="0"/>
      <w:divBdr>
        <w:top w:val="none" w:sz="0" w:space="0" w:color="auto"/>
        <w:left w:val="none" w:sz="0" w:space="0" w:color="auto"/>
        <w:bottom w:val="none" w:sz="0" w:space="0" w:color="auto"/>
        <w:right w:val="none" w:sz="0" w:space="0" w:color="auto"/>
      </w:divBdr>
    </w:div>
    <w:div w:id="240795983">
      <w:bodyDiv w:val="1"/>
      <w:marLeft w:val="0"/>
      <w:marRight w:val="0"/>
      <w:marTop w:val="0"/>
      <w:marBottom w:val="0"/>
      <w:divBdr>
        <w:top w:val="none" w:sz="0" w:space="0" w:color="auto"/>
        <w:left w:val="none" w:sz="0" w:space="0" w:color="auto"/>
        <w:bottom w:val="none" w:sz="0" w:space="0" w:color="auto"/>
        <w:right w:val="none" w:sz="0" w:space="0" w:color="auto"/>
      </w:divBdr>
    </w:div>
    <w:div w:id="248273352">
      <w:bodyDiv w:val="1"/>
      <w:marLeft w:val="0"/>
      <w:marRight w:val="0"/>
      <w:marTop w:val="0"/>
      <w:marBottom w:val="0"/>
      <w:divBdr>
        <w:top w:val="none" w:sz="0" w:space="0" w:color="auto"/>
        <w:left w:val="none" w:sz="0" w:space="0" w:color="auto"/>
        <w:bottom w:val="none" w:sz="0" w:space="0" w:color="auto"/>
        <w:right w:val="none" w:sz="0" w:space="0" w:color="auto"/>
      </w:divBdr>
    </w:div>
    <w:div w:id="248540148">
      <w:bodyDiv w:val="1"/>
      <w:marLeft w:val="0"/>
      <w:marRight w:val="0"/>
      <w:marTop w:val="0"/>
      <w:marBottom w:val="0"/>
      <w:divBdr>
        <w:top w:val="none" w:sz="0" w:space="0" w:color="auto"/>
        <w:left w:val="none" w:sz="0" w:space="0" w:color="auto"/>
        <w:bottom w:val="none" w:sz="0" w:space="0" w:color="auto"/>
        <w:right w:val="none" w:sz="0" w:space="0" w:color="auto"/>
      </w:divBdr>
    </w:div>
    <w:div w:id="251739727">
      <w:bodyDiv w:val="1"/>
      <w:marLeft w:val="0"/>
      <w:marRight w:val="0"/>
      <w:marTop w:val="0"/>
      <w:marBottom w:val="0"/>
      <w:divBdr>
        <w:top w:val="none" w:sz="0" w:space="0" w:color="auto"/>
        <w:left w:val="none" w:sz="0" w:space="0" w:color="auto"/>
        <w:bottom w:val="none" w:sz="0" w:space="0" w:color="auto"/>
        <w:right w:val="none" w:sz="0" w:space="0" w:color="auto"/>
      </w:divBdr>
    </w:div>
    <w:div w:id="254021477">
      <w:bodyDiv w:val="1"/>
      <w:marLeft w:val="0"/>
      <w:marRight w:val="0"/>
      <w:marTop w:val="0"/>
      <w:marBottom w:val="0"/>
      <w:divBdr>
        <w:top w:val="none" w:sz="0" w:space="0" w:color="auto"/>
        <w:left w:val="none" w:sz="0" w:space="0" w:color="auto"/>
        <w:bottom w:val="none" w:sz="0" w:space="0" w:color="auto"/>
        <w:right w:val="none" w:sz="0" w:space="0" w:color="auto"/>
      </w:divBdr>
    </w:div>
    <w:div w:id="254948212">
      <w:bodyDiv w:val="1"/>
      <w:marLeft w:val="0"/>
      <w:marRight w:val="0"/>
      <w:marTop w:val="0"/>
      <w:marBottom w:val="0"/>
      <w:divBdr>
        <w:top w:val="none" w:sz="0" w:space="0" w:color="auto"/>
        <w:left w:val="none" w:sz="0" w:space="0" w:color="auto"/>
        <w:bottom w:val="none" w:sz="0" w:space="0" w:color="auto"/>
        <w:right w:val="none" w:sz="0" w:space="0" w:color="auto"/>
      </w:divBdr>
    </w:div>
    <w:div w:id="257102446">
      <w:bodyDiv w:val="1"/>
      <w:marLeft w:val="0"/>
      <w:marRight w:val="0"/>
      <w:marTop w:val="0"/>
      <w:marBottom w:val="0"/>
      <w:divBdr>
        <w:top w:val="none" w:sz="0" w:space="0" w:color="auto"/>
        <w:left w:val="none" w:sz="0" w:space="0" w:color="auto"/>
        <w:bottom w:val="none" w:sz="0" w:space="0" w:color="auto"/>
        <w:right w:val="none" w:sz="0" w:space="0" w:color="auto"/>
      </w:divBdr>
    </w:div>
    <w:div w:id="257711145">
      <w:bodyDiv w:val="1"/>
      <w:marLeft w:val="0"/>
      <w:marRight w:val="0"/>
      <w:marTop w:val="0"/>
      <w:marBottom w:val="0"/>
      <w:divBdr>
        <w:top w:val="none" w:sz="0" w:space="0" w:color="auto"/>
        <w:left w:val="none" w:sz="0" w:space="0" w:color="auto"/>
        <w:bottom w:val="none" w:sz="0" w:space="0" w:color="auto"/>
        <w:right w:val="none" w:sz="0" w:space="0" w:color="auto"/>
      </w:divBdr>
    </w:div>
    <w:div w:id="262151844">
      <w:bodyDiv w:val="1"/>
      <w:marLeft w:val="0"/>
      <w:marRight w:val="0"/>
      <w:marTop w:val="0"/>
      <w:marBottom w:val="0"/>
      <w:divBdr>
        <w:top w:val="none" w:sz="0" w:space="0" w:color="auto"/>
        <w:left w:val="none" w:sz="0" w:space="0" w:color="auto"/>
        <w:bottom w:val="none" w:sz="0" w:space="0" w:color="auto"/>
        <w:right w:val="none" w:sz="0" w:space="0" w:color="auto"/>
      </w:divBdr>
      <w:divsChild>
        <w:div w:id="439299449">
          <w:marLeft w:val="480"/>
          <w:marRight w:val="0"/>
          <w:marTop w:val="0"/>
          <w:marBottom w:val="0"/>
          <w:divBdr>
            <w:top w:val="none" w:sz="0" w:space="0" w:color="auto"/>
            <w:left w:val="none" w:sz="0" w:space="0" w:color="auto"/>
            <w:bottom w:val="none" w:sz="0" w:space="0" w:color="auto"/>
            <w:right w:val="none" w:sz="0" w:space="0" w:color="auto"/>
          </w:divBdr>
          <w:divsChild>
            <w:div w:id="26280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685296">
      <w:bodyDiv w:val="1"/>
      <w:marLeft w:val="0"/>
      <w:marRight w:val="0"/>
      <w:marTop w:val="0"/>
      <w:marBottom w:val="0"/>
      <w:divBdr>
        <w:top w:val="none" w:sz="0" w:space="0" w:color="auto"/>
        <w:left w:val="none" w:sz="0" w:space="0" w:color="auto"/>
        <w:bottom w:val="none" w:sz="0" w:space="0" w:color="auto"/>
        <w:right w:val="none" w:sz="0" w:space="0" w:color="auto"/>
      </w:divBdr>
    </w:div>
    <w:div w:id="265970316">
      <w:bodyDiv w:val="1"/>
      <w:marLeft w:val="0"/>
      <w:marRight w:val="0"/>
      <w:marTop w:val="0"/>
      <w:marBottom w:val="0"/>
      <w:divBdr>
        <w:top w:val="none" w:sz="0" w:space="0" w:color="auto"/>
        <w:left w:val="none" w:sz="0" w:space="0" w:color="auto"/>
        <w:bottom w:val="none" w:sz="0" w:space="0" w:color="auto"/>
        <w:right w:val="none" w:sz="0" w:space="0" w:color="auto"/>
      </w:divBdr>
    </w:div>
    <w:div w:id="266620697">
      <w:bodyDiv w:val="1"/>
      <w:marLeft w:val="0"/>
      <w:marRight w:val="0"/>
      <w:marTop w:val="0"/>
      <w:marBottom w:val="0"/>
      <w:divBdr>
        <w:top w:val="none" w:sz="0" w:space="0" w:color="auto"/>
        <w:left w:val="none" w:sz="0" w:space="0" w:color="auto"/>
        <w:bottom w:val="none" w:sz="0" w:space="0" w:color="auto"/>
        <w:right w:val="none" w:sz="0" w:space="0" w:color="auto"/>
      </w:divBdr>
    </w:div>
    <w:div w:id="268854136">
      <w:bodyDiv w:val="1"/>
      <w:marLeft w:val="0"/>
      <w:marRight w:val="0"/>
      <w:marTop w:val="0"/>
      <w:marBottom w:val="0"/>
      <w:divBdr>
        <w:top w:val="none" w:sz="0" w:space="0" w:color="auto"/>
        <w:left w:val="none" w:sz="0" w:space="0" w:color="auto"/>
        <w:bottom w:val="none" w:sz="0" w:space="0" w:color="auto"/>
        <w:right w:val="none" w:sz="0" w:space="0" w:color="auto"/>
      </w:divBdr>
    </w:div>
    <w:div w:id="270285944">
      <w:bodyDiv w:val="1"/>
      <w:marLeft w:val="0"/>
      <w:marRight w:val="0"/>
      <w:marTop w:val="0"/>
      <w:marBottom w:val="0"/>
      <w:divBdr>
        <w:top w:val="none" w:sz="0" w:space="0" w:color="auto"/>
        <w:left w:val="none" w:sz="0" w:space="0" w:color="auto"/>
        <w:bottom w:val="none" w:sz="0" w:space="0" w:color="auto"/>
        <w:right w:val="none" w:sz="0" w:space="0" w:color="auto"/>
      </w:divBdr>
    </w:div>
    <w:div w:id="272828262">
      <w:bodyDiv w:val="1"/>
      <w:marLeft w:val="0"/>
      <w:marRight w:val="0"/>
      <w:marTop w:val="0"/>
      <w:marBottom w:val="0"/>
      <w:divBdr>
        <w:top w:val="none" w:sz="0" w:space="0" w:color="auto"/>
        <w:left w:val="none" w:sz="0" w:space="0" w:color="auto"/>
        <w:bottom w:val="none" w:sz="0" w:space="0" w:color="auto"/>
        <w:right w:val="none" w:sz="0" w:space="0" w:color="auto"/>
      </w:divBdr>
    </w:div>
    <w:div w:id="274168841">
      <w:bodyDiv w:val="1"/>
      <w:marLeft w:val="0"/>
      <w:marRight w:val="0"/>
      <w:marTop w:val="0"/>
      <w:marBottom w:val="0"/>
      <w:divBdr>
        <w:top w:val="none" w:sz="0" w:space="0" w:color="auto"/>
        <w:left w:val="none" w:sz="0" w:space="0" w:color="auto"/>
        <w:bottom w:val="none" w:sz="0" w:space="0" w:color="auto"/>
        <w:right w:val="none" w:sz="0" w:space="0" w:color="auto"/>
      </w:divBdr>
    </w:div>
    <w:div w:id="275993064">
      <w:bodyDiv w:val="1"/>
      <w:marLeft w:val="0"/>
      <w:marRight w:val="0"/>
      <w:marTop w:val="0"/>
      <w:marBottom w:val="0"/>
      <w:divBdr>
        <w:top w:val="none" w:sz="0" w:space="0" w:color="auto"/>
        <w:left w:val="none" w:sz="0" w:space="0" w:color="auto"/>
        <w:bottom w:val="none" w:sz="0" w:space="0" w:color="auto"/>
        <w:right w:val="none" w:sz="0" w:space="0" w:color="auto"/>
      </w:divBdr>
    </w:div>
    <w:div w:id="278221624">
      <w:bodyDiv w:val="1"/>
      <w:marLeft w:val="0"/>
      <w:marRight w:val="0"/>
      <w:marTop w:val="0"/>
      <w:marBottom w:val="0"/>
      <w:divBdr>
        <w:top w:val="none" w:sz="0" w:space="0" w:color="auto"/>
        <w:left w:val="none" w:sz="0" w:space="0" w:color="auto"/>
        <w:bottom w:val="none" w:sz="0" w:space="0" w:color="auto"/>
        <w:right w:val="none" w:sz="0" w:space="0" w:color="auto"/>
      </w:divBdr>
    </w:div>
    <w:div w:id="283270826">
      <w:bodyDiv w:val="1"/>
      <w:marLeft w:val="0"/>
      <w:marRight w:val="0"/>
      <w:marTop w:val="0"/>
      <w:marBottom w:val="0"/>
      <w:divBdr>
        <w:top w:val="none" w:sz="0" w:space="0" w:color="auto"/>
        <w:left w:val="none" w:sz="0" w:space="0" w:color="auto"/>
        <w:bottom w:val="none" w:sz="0" w:space="0" w:color="auto"/>
        <w:right w:val="none" w:sz="0" w:space="0" w:color="auto"/>
      </w:divBdr>
    </w:div>
    <w:div w:id="283971255">
      <w:bodyDiv w:val="1"/>
      <w:marLeft w:val="0"/>
      <w:marRight w:val="0"/>
      <w:marTop w:val="0"/>
      <w:marBottom w:val="0"/>
      <w:divBdr>
        <w:top w:val="none" w:sz="0" w:space="0" w:color="auto"/>
        <w:left w:val="none" w:sz="0" w:space="0" w:color="auto"/>
        <w:bottom w:val="none" w:sz="0" w:space="0" w:color="auto"/>
        <w:right w:val="none" w:sz="0" w:space="0" w:color="auto"/>
      </w:divBdr>
    </w:div>
    <w:div w:id="287009002">
      <w:bodyDiv w:val="1"/>
      <w:marLeft w:val="0"/>
      <w:marRight w:val="0"/>
      <w:marTop w:val="0"/>
      <w:marBottom w:val="0"/>
      <w:divBdr>
        <w:top w:val="none" w:sz="0" w:space="0" w:color="auto"/>
        <w:left w:val="none" w:sz="0" w:space="0" w:color="auto"/>
        <w:bottom w:val="none" w:sz="0" w:space="0" w:color="auto"/>
        <w:right w:val="none" w:sz="0" w:space="0" w:color="auto"/>
      </w:divBdr>
    </w:div>
    <w:div w:id="293215162">
      <w:bodyDiv w:val="1"/>
      <w:marLeft w:val="0"/>
      <w:marRight w:val="0"/>
      <w:marTop w:val="0"/>
      <w:marBottom w:val="0"/>
      <w:divBdr>
        <w:top w:val="none" w:sz="0" w:space="0" w:color="auto"/>
        <w:left w:val="none" w:sz="0" w:space="0" w:color="auto"/>
        <w:bottom w:val="none" w:sz="0" w:space="0" w:color="auto"/>
        <w:right w:val="none" w:sz="0" w:space="0" w:color="auto"/>
      </w:divBdr>
    </w:div>
    <w:div w:id="296301820">
      <w:bodyDiv w:val="1"/>
      <w:marLeft w:val="0"/>
      <w:marRight w:val="0"/>
      <w:marTop w:val="0"/>
      <w:marBottom w:val="0"/>
      <w:divBdr>
        <w:top w:val="none" w:sz="0" w:space="0" w:color="auto"/>
        <w:left w:val="none" w:sz="0" w:space="0" w:color="auto"/>
        <w:bottom w:val="none" w:sz="0" w:space="0" w:color="auto"/>
        <w:right w:val="none" w:sz="0" w:space="0" w:color="auto"/>
      </w:divBdr>
    </w:div>
    <w:div w:id="297228499">
      <w:bodyDiv w:val="1"/>
      <w:marLeft w:val="0"/>
      <w:marRight w:val="0"/>
      <w:marTop w:val="0"/>
      <w:marBottom w:val="0"/>
      <w:divBdr>
        <w:top w:val="none" w:sz="0" w:space="0" w:color="auto"/>
        <w:left w:val="none" w:sz="0" w:space="0" w:color="auto"/>
        <w:bottom w:val="none" w:sz="0" w:space="0" w:color="auto"/>
        <w:right w:val="none" w:sz="0" w:space="0" w:color="auto"/>
      </w:divBdr>
    </w:div>
    <w:div w:id="297491740">
      <w:bodyDiv w:val="1"/>
      <w:marLeft w:val="0"/>
      <w:marRight w:val="0"/>
      <w:marTop w:val="0"/>
      <w:marBottom w:val="0"/>
      <w:divBdr>
        <w:top w:val="none" w:sz="0" w:space="0" w:color="auto"/>
        <w:left w:val="none" w:sz="0" w:space="0" w:color="auto"/>
        <w:bottom w:val="none" w:sz="0" w:space="0" w:color="auto"/>
        <w:right w:val="none" w:sz="0" w:space="0" w:color="auto"/>
      </w:divBdr>
    </w:div>
    <w:div w:id="300307727">
      <w:bodyDiv w:val="1"/>
      <w:marLeft w:val="0"/>
      <w:marRight w:val="0"/>
      <w:marTop w:val="0"/>
      <w:marBottom w:val="0"/>
      <w:divBdr>
        <w:top w:val="none" w:sz="0" w:space="0" w:color="auto"/>
        <w:left w:val="none" w:sz="0" w:space="0" w:color="auto"/>
        <w:bottom w:val="none" w:sz="0" w:space="0" w:color="auto"/>
        <w:right w:val="none" w:sz="0" w:space="0" w:color="auto"/>
      </w:divBdr>
    </w:div>
    <w:div w:id="300694669">
      <w:bodyDiv w:val="1"/>
      <w:marLeft w:val="0"/>
      <w:marRight w:val="0"/>
      <w:marTop w:val="0"/>
      <w:marBottom w:val="0"/>
      <w:divBdr>
        <w:top w:val="none" w:sz="0" w:space="0" w:color="auto"/>
        <w:left w:val="none" w:sz="0" w:space="0" w:color="auto"/>
        <w:bottom w:val="none" w:sz="0" w:space="0" w:color="auto"/>
        <w:right w:val="none" w:sz="0" w:space="0" w:color="auto"/>
      </w:divBdr>
    </w:div>
    <w:div w:id="301275784">
      <w:bodyDiv w:val="1"/>
      <w:marLeft w:val="0"/>
      <w:marRight w:val="0"/>
      <w:marTop w:val="0"/>
      <w:marBottom w:val="0"/>
      <w:divBdr>
        <w:top w:val="none" w:sz="0" w:space="0" w:color="auto"/>
        <w:left w:val="none" w:sz="0" w:space="0" w:color="auto"/>
        <w:bottom w:val="none" w:sz="0" w:space="0" w:color="auto"/>
        <w:right w:val="none" w:sz="0" w:space="0" w:color="auto"/>
      </w:divBdr>
    </w:div>
    <w:div w:id="305859379">
      <w:bodyDiv w:val="1"/>
      <w:marLeft w:val="0"/>
      <w:marRight w:val="0"/>
      <w:marTop w:val="0"/>
      <w:marBottom w:val="0"/>
      <w:divBdr>
        <w:top w:val="none" w:sz="0" w:space="0" w:color="auto"/>
        <w:left w:val="none" w:sz="0" w:space="0" w:color="auto"/>
        <w:bottom w:val="none" w:sz="0" w:space="0" w:color="auto"/>
        <w:right w:val="none" w:sz="0" w:space="0" w:color="auto"/>
      </w:divBdr>
    </w:div>
    <w:div w:id="308289599">
      <w:bodyDiv w:val="1"/>
      <w:marLeft w:val="0"/>
      <w:marRight w:val="0"/>
      <w:marTop w:val="0"/>
      <w:marBottom w:val="0"/>
      <w:divBdr>
        <w:top w:val="none" w:sz="0" w:space="0" w:color="auto"/>
        <w:left w:val="none" w:sz="0" w:space="0" w:color="auto"/>
        <w:bottom w:val="none" w:sz="0" w:space="0" w:color="auto"/>
        <w:right w:val="none" w:sz="0" w:space="0" w:color="auto"/>
      </w:divBdr>
    </w:div>
    <w:div w:id="308561945">
      <w:bodyDiv w:val="1"/>
      <w:marLeft w:val="0"/>
      <w:marRight w:val="0"/>
      <w:marTop w:val="0"/>
      <w:marBottom w:val="0"/>
      <w:divBdr>
        <w:top w:val="none" w:sz="0" w:space="0" w:color="auto"/>
        <w:left w:val="none" w:sz="0" w:space="0" w:color="auto"/>
        <w:bottom w:val="none" w:sz="0" w:space="0" w:color="auto"/>
        <w:right w:val="none" w:sz="0" w:space="0" w:color="auto"/>
      </w:divBdr>
    </w:div>
    <w:div w:id="311443233">
      <w:bodyDiv w:val="1"/>
      <w:marLeft w:val="0"/>
      <w:marRight w:val="0"/>
      <w:marTop w:val="0"/>
      <w:marBottom w:val="0"/>
      <w:divBdr>
        <w:top w:val="none" w:sz="0" w:space="0" w:color="auto"/>
        <w:left w:val="none" w:sz="0" w:space="0" w:color="auto"/>
        <w:bottom w:val="none" w:sz="0" w:space="0" w:color="auto"/>
        <w:right w:val="none" w:sz="0" w:space="0" w:color="auto"/>
      </w:divBdr>
    </w:div>
    <w:div w:id="323552481">
      <w:bodyDiv w:val="1"/>
      <w:marLeft w:val="0"/>
      <w:marRight w:val="0"/>
      <w:marTop w:val="0"/>
      <w:marBottom w:val="0"/>
      <w:divBdr>
        <w:top w:val="none" w:sz="0" w:space="0" w:color="auto"/>
        <w:left w:val="none" w:sz="0" w:space="0" w:color="auto"/>
        <w:bottom w:val="none" w:sz="0" w:space="0" w:color="auto"/>
        <w:right w:val="none" w:sz="0" w:space="0" w:color="auto"/>
      </w:divBdr>
    </w:div>
    <w:div w:id="331952236">
      <w:bodyDiv w:val="1"/>
      <w:marLeft w:val="0"/>
      <w:marRight w:val="0"/>
      <w:marTop w:val="0"/>
      <w:marBottom w:val="0"/>
      <w:divBdr>
        <w:top w:val="none" w:sz="0" w:space="0" w:color="auto"/>
        <w:left w:val="none" w:sz="0" w:space="0" w:color="auto"/>
        <w:bottom w:val="none" w:sz="0" w:space="0" w:color="auto"/>
        <w:right w:val="none" w:sz="0" w:space="0" w:color="auto"/>
      </w:divBdr>
    </w:div>
    <w:div w:id="338047384">
      <w:bodyDiv w:val="1"/>
      <w:marLeft w:val="0"/>
      <w:marRight w:val="0"/>
      <w:marTop w:val="0"/>
      <w:marBottom w:val="0"/>
      <w:divBdr>
        <w:top w:val="none" w:sz="0" w:space="0" w:color="auto"/>
        <w:left w:val="none" w:sz="0" w:space="0" w:color="auto"/>
        <w:bottom w:val="none" w:sz="0" w:space="0" w:color="auto"/>
        <w:right w:val="none" w:sz="0" w:space="0" w:color="auto"/>
      </w:divBdr>
    </w:div>
    <w:div w:id="339360553">
      <w:bodyDiv w:val="1"/>
      <w:marLeft w:val="0"/>
      <w:marRight w:val="0"/>
      <w:marTop w:val="0"/>
      <w:marBottom w:val="0"/>
      <w:divBdr>
        <w:top w:val="none" w:sz="0" w:space="0" w:color="auto"/>
        <w:left w:val="none" w:sz="0" w:space="0" w:color="auto"/>
        <w:bottom w:val="none" w:sz="0" w:space="0" w:color="auto"/>
        <w:right w:val="none" w:sz="0" w:space="0" w:color="auto"/>
      </w:divBdr>
    </w:div>
    <w:div w:id="342168923">
      <w:bodyDiv w:val="1"/>
      <w:marLeft w:val="0"/>
      <w:marRight w:val="0"/>
      <w:marTop w:val="0"/>
      <w:marBottom w:val="0"/>
      <w:divBdr>
        <w:top w:val="none" w:sz="0" w:space="0" w:color="auto"/>
        <w:left w:val="none" w:sz="0" w:space="0" w:color="auto"/>
        <w:bottom w:val="none" w:sz="0" w:space="0" w:color="auto"/>
        <w:right w:val="none" w:sz="0" w:space="0" w:color="auto"/>
      </w:divBdr>
    </w:div>
    <w:div w:id="349837359">
      <w:bodyDiv w:val="1"/>
      <w:marLeft w:val="0"/>
      <w:marRight w:val="0"/>
      <w:marTop w:val="0"/>
      <w:marBottom w:val="0"/>
      <w:divBdr>
        <w:top w:val="none" w:sz="0" w:space="0" w:color="auto"/>
        <w:left w:val="none" w:sz="0" w:space="0" w:color="auto"/>
        <w:bottom w:val="none" w:sz="0" w:space="0" w:color="auto"/>
        <w:right w:val="none" w:sz="0" w:space="0" w:color="auto"/>
      </w:divBdr>
    </w:div>
    <w:div w:id="351034462">
      <w:bodyDiv w:val="1"/>
      <w:marLeft w:val="0"/>
      <w:marRight w:val="0"/>
      <w:marTop w:val="0"/>
      <w:marBottom w:val="0"/>
      <w:divBdr>
        <w:top w:val="none" w:sz="0" w:space="0" w:color="auto"/>
        <w:left w:val="none" w:sz="0" w:space="0" w:color="auto"/>
        <w:bottom w:val="none" w:sz="0" w:space="0" w:color="auto"/>
        <w:right w:val="none" w:sz="0" w:space="0" w:color="auto"/>
      </w:divBdr>
    </w:div>
    <w:div w:id="354044249">
      <w:bodyDiv w:val="1"/>
      <w:marLeft w:val="0"/>
      <w:marRight w:val="0"/>
      <w:marTop w:val="0"/>
      <w:marBottom w:val="0"/>
      <w:divBdr>
        <w:top w:val="none" w:sz="0" w:space="0" w:color="auto"/>
        <w:left w:val="none" w:sz="0" w:space="0" w:color="auto"/>
        <w:bottom w:val="none" w:sz="0" w:space="0" w:color="auto"/>
        <w:right w:val="none" w:sz="0" w:space="0" w:color="auto"/>
      </w:divBdr>
    </w:div>
    <w:div w:id="369496280">
      <w:bodyDiv w:val="1"/>
      <w:marLeft w:val="0"/>
      <w:marRight w:val="0"/>
      <w:marTop w:val="0"/>
      <w:marBottom w:val="0"/>
      <w:divBdr>
        <w:top w:val="none" w:sz="0" w:space="0" w:color="auto"/>
        <w:left w:val="none" w:sz="0" w:space="0" w:color="auto"/>
        <w:bottom w:val="none" w:sz="0" w:space="0" w:color="auto"/>
        <w:right w:val="none" w:sz="0" w:space="0" w:color="auto"/>
      </w:divBdr>
    </w:div>
    <w:div w:id="377556903">
      <w:bodyDiv w:val="1"/>
      <w:marLeft w:val="0"/>
      <w:marRight w:val="0"/>
      <w:marTop w:val="0"/>
      <w:marBottom w:val="0"/>
      <w:divBdr>
        <w:top w:val="none" w:sz="0" w:space="0" w:color="auto"/>
        <w:left w:val="none" w:sz="0" w:space="0" w:color="auto"/>
        <w:bottom w:val="none" w:sz="0" w:space="0" w:color="auto"/>
        <w:right w:val="none" w:sz="0" w:space="0" w:color="auto"/>
      </w:divBdr>
    </w:div>
    <w:div w:id="387534174">
      <w:bodyDiv w:val="1"/>
      <w:marLeft w:val="0"/>
      <w:marRight w:val="0"/>
      <w:marTop w:val="0"/>
      <w:marBottom w:val="0"/>
      <w:divBdr>
        <w:top w:val="none" w:sz="0" w:space="0" w:color="auto"/>
        <w:left w:val="none" w:sz="0" w:space="0" w:color="auto"/>
        <w:bottom w:val="none" w:sz="0" w:space="0" w:color="auto"/>
        <w:right w:val="none" w:sz="0" w:space="0" w:color="auto"/>
      </w:divBdr>
    </w:div>
    <w:div w:id="390077753">
      <w:bodyDiv w:val="1"/>
      <w:marLeft w:val="0"/>
      <w:marRight w:val="0"/>
      <w:marTop w:val="0"/>
      <w:marBottom w:val="0"/>
      <w:divBdr>
        <w:top w:val="none" w:sz="0" w:space="0" w:color="auto"/>
        <w:left w:val="none" w:sz="0" w:space="0" w:color="auto"/>
        <w:bottom w:val="none" w:sz="0" w:space="0" w:color="auto"/>
        <w:right w:val="none" w:sz="0" w:space="0" w:color="auto"/>
      </w:divBdr>
    </w:div>
    <w:div w:id="390152782">
      <w:bodyDiv w:val="1"/>
      <w:marLeft w:val="0"/>
      <w:marRight w:val="0"/>
      <w:marTop w:val="0"/>
      <w:marBottom w:val="0"/>
      <w:divBdr>
        <w:top w:val="none" w:sz="0" w:space="0" w:color="auto"/>
        <w:left w:val="none" w:sz="0" w:space="0" w:color="auto"/>
        <w:bottom w:val="none" w:sz="0" w:space="0" w:color="auto"/>
        <w:right w:val="none" w:sz="0" w:space="0" w:color="auto"/>
      </w:divBdr>
    </w:div>
    <w:div w:id="390884166">
      <w:bodyDiv w:val="1"/>
      <w:marLeft w:val="0"/>
      <w:marRight w:val="0"/>
      <w:marTop w:val="0"/>
      <w:marBottom w:val="0"/>
      <w:divBdr>
        <w:top w:val="none" w:sz="0" w:space="0" w:color="auto"/>
        <w:left w:val="none" w:sz="0" w:space="0" w:color="auto"/>
        <w:bottom w:val="none" w:sz="0" w:space="0" w:color="auto"/>
        <w:right w:val="none" w:sz="0" w:space="0" w:color="auto"/>
      </w:divBdr>
    </w:div>
    <w:div w:id="391853343">
      <w:bodyDiv w:val="1"/>
      <w:marLeft w:val="0"/>
      <w:marRight w:val="0"/>
      <w:marTop w:val="0"/>
      <w:marBottom w:val="0"/>
      <w:divBdr>
        <w:top w:val="none" w:sz="0" w:space="0" w:color="auto"/>
        <w:left w:val="none" w:sz="0" w:space="0" w:color="auto"/>
        <w:bottom w:val="none" w:sz="0" w:space="0" w:color="auto"/>
        <w:right w:val="none" w:sz="0" w:space="0" w:color="auto"/>
      </w:divBdr>
    </w:div>
    <w:div w:id="392587489">
      <w:bodyDiv w:val="1"/>
      <w:marLeft w:val="0"/>
      <w:marRight w:val="0"/>
      <w:marTop w:val="0"/>
      <w:marBottom w:val="0"/>
      <w:divBdr>
        <w:top w:val="none" w:sz="0" w:space="0" w:color="auto"/>
        <w:left w:val="none" w:sz="0" w:space="0" w:color="auto"/>
        <w:bottom w:val="none" w:sz="0" w:space="0" w:color="auto"/>
        <w:right w:val="none" w:sz="0" w:space="0" w:color="auto"/>
      </w:divBdr>
    </w:div>
    <w:div w:id="392777914">
      <w:bodyDiv w:val="1"/>
      <w:marLeft w:val="0"/>
      <w:marRight w:val="0"/>
      <w:marTop w:val="0"/>
      <w:marBottom w:val="0"/>
      <w:divBdr>
        <w:top w:val="none" w:sz="0" w:space="0" w:color="auto"/>
        <w:left w:val="none" w:sz="0" w:space="0" w:color="auto"/>
        <w:bottom w:val="none" w:sz="0" w:space="0" w:color="auto"/>
        <w:right w:val="none" w:sz="0" w:space="0" w:color="auto"/>
      </w:divBdr>
    </w:div>
    <w:div w:id="394741791">
      <w:bodyDiv w:val="1"/>
      <w:marLeft w:val="0"/>
      <w:marRight w:val="0"/>
      <w:marTop w:val="0"/>
      <w:marBottom w:val="0"/>
      <w:divBdr>
        <w:top w:val="none" w:sz="0" w:space="0" w:color="auto"/>
        <w:left w:val="none" w:sz="0" w:space="0" w:color="auto"/>
        <w:bottom w:val="none" w:sz="0" w:space="0" w:color="auto"/>
        <w:right w:val="none" w:sz="0" w:space="0" w:color="auto"/>
      </w:divBdr>
    </w:div>
    <w:div w:id="399522221">
      <w:bodyDiv w:val="1"/>
      <w:marLeft w:val="0"/>
      <w:marRight w:val="0"/>
      <w:marTop w:val="0"/>
      <w:marBottom w:val="0"/>
      <w:divBdr>
        <w:top w:val="none" w:sz="0" w:space="0" w:color="auto"/>
        <w:left w:val="none" w:sz="0" w:space="0" w:color="auto"/>
        <w:bottom w:val="none" w:sz="0" w:space="0" w:color="auto"/>
        <w:right w:val="none" w:sz="0" w:space="0" w:color="auto"/>
      </w:divBdr>
    </w:div>
    <w:div w:id="400062874">
      <w:bodyDiv w:val="1"/>
      <w:marLeft w:val="0"/>
      <w:marRight w:val="0"/>
      <w:marTop w:val="0"/>
      <w:marBottom w:val="0"/>
      <w:divBdr>
        <w:top w:val="none" w:sz="0" w:space="0" w:color="auto"/>
        <w:left w:val="none" w:sz="0" w:space="0" w:color="auto"/>
        <w:bottom w:val="none" w:sz="0" w:space="0" w:color="auto"/>
        <w:right w:val="none" w:sz="0" w:space="0" w:color="auto"/>
      </w:divBdr>
    </w:div>
    <w:div w:id="403643028">
      <w:bodyDiv w:val="1"/>
      <w:marLeft w:val="0"/>
      <w:marRight w:val="0"/>
      <w:marTop w:val="0"/>
      <w:marBottom w:val="0"/>
      <w:divBdr>
        <w:top w:val="none" w:sz="0" w:space="0" w:color="auto"/>
        <w:left w:val="none" w:sz="0" w:space="0" w:color="auto"/>
        <w:bottom w:val="none" w:sz="0" w:space="0" w:color="auto"/>
        <w:right w:val="none" w:sz="0" w:space="0" w:color="auto"/>
      </w:divBdr>
    </w:div>
    <w:div w:id="403992932">
      <w:bodyDiv w:val="1"/>
      <w:marLeft w:val="0"/>
      <w:marRight w:val="0"/>
      <w:marTop w:val="0"/>
      <w:marBottom w:val="0"/>
      <w:divBdr>
        <w:top w:val="none" w:sz="0" w:space="0" w:color="auto"/>
        <w:left w:val="none" w:sz="0" w:space="0" w:color="auto"/>
        <w:bottom w:val="none" w:sz="0" w:space="0" w:color="auto"/>
        <w:right w:val="none" w:sz="0" w:space="0" w:color="auto"/>
      </w:divBdr>
    </w:div>
    <w:div w:id="411702289">
      <w:bodyDiv w:val="1"/>
      <w:marLeft w:val="0"/>
      <w:marRight w:val="0"/>
      <w:marTop w:val="0"/>
      <w:marBottom w:val="0"/>
      <w:divBdr>
        <w:top w:val="none" w:sz="0" w:space="0" w:color="auto"/>
        <w:left w:val="none" w:sz="0" w:space="0" w:color="auto"/>
        <w:bottom w:val="none" w:sz="0" w:space="0" w:color="auto"/>
        <w:right w:val="none" w:sz="0" w:space="0" w:color="auto"/>
      </w:divBdr>
    </w:div>
    <w:div w:id="414981122">
      <w:bodyDiv w:val="1"/>
      <w:marLeft w:val="0"/>
      <w:marRight w:val="0"/>
      <w:marTop w:val="0"/>
      <w:marBottom w:val="0"/>
      <w:divBdr>
        <w:top w:val="none" w:sz="0" w:space="0" w:color="auto"/>
        <w:left w:val="none" w:sz="0" w:space="0" w:color="auto"/>
        <w:bottom w:val="none" w:sz="0" w:space="0" w:color="auto"/>
        <w:right w:val="none" w:sz="0" w:space="0" w:color="auto"/>
      </w:divBdr>
    </w:div>
    <w:div w:id="419258325">
      <w:bodyDiv w:val="1"/>
      <w:marLeft w:val="0"/>
      <w:marRight w:val="0"/>
      <w:marTop w:val="0"/>
      <w:marBottom w:val="0"/>
      <w:divBdr>
        <w:top w:val="none" w:sz="0" w:space="0" w:color="auto"/>
        <w:left w:val="none" w:sz="0" w:space="0" w:color="auto"/>
        <w:bottom w:val="none" w:sz="0" w:space="0" w:color="auto"/>
        <w:right w:val="none" w:sz="0" w:space="0" w:color="auto"/>
      </w:divBdr>
    </w:div>
    <w:div w:id="422994962">
      <w:bodyDiv w:val="1"/>
      <w:marLeft w:val="0"/>
      <w:marRight w:val="0"/>
      <w:marTop w:val="0"/>
      <w:marBottom w:val="0"/>
      <w:divBdr>
        <w:top w:val="none" w:sz="0" w:space="0" w:color="auto"/>
        <w:left w:val="none" w:sz="0" w:space="0" w:color="auto"/>
        <w:bottom w:val="none" w:sz="0" w:space="0" w:color="auto"/>
        <w:right w:val="none" w:sz="0" w:space="0" w:color="auto"/>
      </w:divBdr>
    </w:div>
    <w:div w:id="423846932">
      <w:bodyDiv w:val="1"/>
      <w:marLeft w:val="0"/>
      <w:marRight w:val="0"/>
      <w:marTop w:val="0"/>
      <w:marBottom w:val="0"/>
      <w:divBdr>
        <w:top w:val="none" w:sz="0" w:space="0" w:color="auto"/>
        <w:left w:val="none" w:sz="0" w:space="0" w:color="auto"/>
        <w:bottom w:val="none" w:sz="0" w:space="0" w:color="auto"/>
        <w:right w:val="none" w:sz="0" w:space="0" w:color="auto"/>
      </w:divBdr>
    </w:div>
    <w:div w:id="427039647">
      <w:bodyDiv w:val="1"/>
      <w:marLeft w:val="0"/>
      <w:marRight w:val="0"/>
      <w:marTop w:val="0"/>
      <w:marBottom w:val="0"/>
      <w:divBdr>
        <w:top w:val="none" w:sz="0" w:space="0" w:color="auto"/>
        <w:left w:val="none" w:sz="0" w:space="0" w:color="auto"/>
        <w:bottom w:val="none" w:sz="0" w:space="0" w:color="auto"/>
        <w:right w:val="none" w:sz="0" w:space="0" w:color="auto"/>
      </w:divBdr>
    </w:div>
    <w:div w:id="427702888">
      <w:bodyDiv w:val="1"/>
      <w:marLeft w:val="0"/>
      <w:marRight w:val="0"/>
      <w:marTop w:val="0"/>
      <w:marBottom w:val="0"/>
      <w:divBdr>
        <w:top w:val="none" w:sz="0" w:space="0" w:color="auto"/>
        <w:left w:val="none" w:sz="0" w:space="0" w:color="auto"/>
        <w:bottom w:val="none" w:sz="0" w:space="0" w:color="auto"/>
        <w:right w:val="none" w:sz="0" w:space="0" w:color="auto"/>
      </w:divBdr>
    </w:div>
    <w:div w:id="427774568">
      <w:bodyDiv w:val="1"/>
      <w:marLeft w:val="0"/>
      <w:marRight w:val="0"/>
      <w:marTop w:val="0"/>
      <w:marBottom w:val="0"/>
      <w:divBdr>
        <w:top w:val="none" w:sz="0" w:space="0" w:color="auto"/>
        <w:left w:val="none" w:sz="0" w:space="0" w:color="auto"/>
        <w:bottom w:val="none" w:sz="0" w:space="0" w:color="auto"/>
        <w:right w:val="none" w:sz="0" w:space="0" w:color="auto"/>
      </w:divBdr>
    </w:div>
    <w:div w:id="429588783">
      <w:bodyDiv w:val="1"/>
      <w:marLeft w:val="0"/>
      <w:marRight w:val="0"/>
      <w:marTop w:val="0"/>
      <w:marBottom w:val="0"/>
      <w:divBdr>
        <w:top w:val="none" w:sz="0" w:space="0" w:color="auto"/>
        <w:left w:val="none" w:sz="0" w:space="0" w:color="auto"/>
        <w:bottom w:val="none" w:sz="0" w:space="0" w:color="auto"/>
        <w:right w:val="none" w:sz="0" w:space="0" w:color="auto"/>
      </w:divBdr>
    </w:div>
    <w:div w:id="435491021">
      <w:bodyDiv w:val="1"/>
      <w:marLeft w:val="0"/>
      <w:marRight w:val="0"/>
      <w:marTop w:val="0"/>
      <w:marBottom w:val="0"/>
      <w:divBdr>
        <w:top w:val="none" w:sz="0" w:space="0" w:color="auto"/>
        <w:left w:val="none" w:sz="0" w:space="0" w:color="auto"/>
        <w:bottom w:val="none" w:sz="0" w:space="0" w:color="auto"/>
        <w:right w:val="none" w:sz="0" w:space="0" w:color="auto"/>
      </w:divBdr>
    </w:div>
    <w:div w:id="438377084">
      <w:bodyDiv w:val="1"/>
      <w:marLeft w:val="0"/>
      <w:marRight w:val="0"/>
      <w:marTop w:val="0"/>
      <w:marBottom w:val="0"/>
      <w:divBdr>
        <w:top w:val="none" w:sz="0" w:space="0" w:color="auto"/>
        <w:left w:val="none" w:sz="0" w:space="0" w:color="auto"/>
        <w:bottom w:val="none" w:sz="0" w:space="0" w:color="auto"/>
        <w:right w:val="none" w:sz="0" w:space="0" w:color="auto"/>
      </w:divBdr>
    </w:div>
    <w:div w:id="443692320">
      <w:bodyDiv w:val="1"/>
      <w:marLeft w:val="0"/>
      <w:marRight w:val="0"/>
      <w:marTop w:val="0"/>
      <w:marBottom w:val="0"/>
      <w:divBdr>
        <w:top w:val="none" w:sz="0" w:space="0" w:color="auto"/>
        <w:left w:val="none" w:sz="0" w:space="0" w:color="auto"/>
        <w:bottom w:val="none" w:sz="0" w:space="0" w:color="auto"/>
        <w:right w:val="none" w:sz="0" w:space="0" w:color="auto"/>
      </w:divBdr>
    </w:div>
    <w:div w:id="450587408">
      <w:bodyDiv w:val="1"/>
      <w:marLeft w:val="0"/>
      <w:marRight w:val="0"/>
      <w:marTop w:val="0"/>
      <w:marBottom w:val="0"/>
      <w:divBdr>
        <w:top w:val="none" w:sz="0" w:space="0" w:color="auto"/>
        <w:left w:val="none" w:sz="0" w:space="0" w:color="auto"/>
        <w:bottom w:val="none" w:sz="0" w:space="0" w:color="auto"/>
        <w:right w:val="none" w:sz="0" w:space="0" w:color="auto"/>
      </w:divBdr>
    </w:div>
    <w:div w:id="452290599">
      <w:bodyDiv w:val="1"/>
      <w:marLeft w:val="0"/>
      <w:marRight w:val="0"/>
      <w:marTop w:val="0"/>
      <w:marBottom w:val="0"/>
      <w:divBdr>
        <w:top w:val="none" w:sz="0" w:space="0" w:color="auto"/>
        <w:left w:val="none" w:sz="0" w:space="0" w:color="auto"/>
        <w:bottom w:val="none" w:sz="0" w:space="0" w:color="auto"/>
        <w:right w:val="none" w:sz="0" w:space="0" w:color="auto"/>
      </w:divBdr>
    </w:div>
    <w:div w:id="452596913">
      <w:bodyDiv w:val="1"/>
      <w:marLeft w:val="0"/>
      <w:marRight w:val="0"/>
      <w:marTop w:val="0"/>
      <w:marBottom w:val="0"/>
      <w:divBdr>
        <w:top w:val="none" w:sz="0" w:space="0" w:color="auto"/>
        <w:left w:val="none" w:sz="0" w:space="0" w:color="auto"/>
        <w:bottom w:val="none" w:sz="0" w:space="0" w:color="auto"/>
        <w:right w:val="none" w:sz="0" w:space="0" w:color="auto"/>
      </w:divBdr>
    </w:div>
    <w:div w:id="452870858">
      <w:bodyDiv w:val="1"/>
      <w:marLeft w:val="0"/>
      <w:marRight w:val="0"/>
      <w:marTop w:val="0"/>
      <w:marBottom w:val="0"/>
      <w:divBdr>
        <w:top w:val="none" w:sz="0" w:space="0" w:color="auto"/>
        <w:left w:val="none" w:sz="0" w:space="0" w:color="auto"/>
        <w:bottom w:val="none" w:sz="0" w:space="0" w:color="auto"/>
        <w:right w:val="none" w:sz="0" w:space="0" w:color="auto"/>
      </w:divBdr>
    </w:div>
    <w:div w:id="459760712">
      <w:bodyDiv w:val="1"/>
      <w:marLeft w:val="0"/>
      <w:marRight w:val="0"/>
      <w:marTop w:val="0"/>
      <w:marBottom w:val="0"/>
      <w:divBdr>
        <w:top w:val="none" w:sz="0" w:space="0" w:color="auto"/>
        <w:left w:val="none" w:sz="0" w:space="0" w:color="auto"/>
        <w:bottom w:val="none" w:sz="0" w:space="0" w:color="auto"/>
        <w:right w:val="none" w:sz="0" w:space="0" w:color="auto"/>
      </w:divBdr>
    </w:div>
    <w:div w:id="462160528">
      <w:bodyDiv w:val="1"/>
      <w:marLeft w:val="0"/>
      <w:marRight w:val="0"/>
      <w:marTop w:val="0"/>
      <w:marBottom w:val="0"/>
      <w:divBdr>
        <w:top w:val="none" w:sz="0" w:space="0" w:color="auto"/>
        <w:left w:val="none" w:sz="0" w:space="0" w:color="auto"/>
        <w:bottom w:val="none" w:sz="0" w:space="0" w:color="auto"/>
        <w:right w:val="none" w:sz="0" w:space="0" w:color="auto"/>
      </w:divBdr>
    </w:div>
    <w:div w:id="466513944">
      <w:bodyDiv w:val="1"/>
      <w:marLeft w:val="0"/>
      <w:marRight w:val="0"/>
      <w:marTop w:val="0"/>
      <w:marBottom w:val="0"/>
      <w:divBdr>
        <w:top w:val="none" w:sz="0" w:space="0" w:color="auto"/>
        <w:left w:val="none" w:sz="0" w:space="0" w:color="auto"/>
        <w:bottom w:val="none" w:sz="0" w:space="0" w:color="auto"/>
        <w:right w:val="none" w:sz="0" w:space="0" w:color="auto"/>
      </w:divBdr>
    </w:div>
    <w:div w:id="468061328">
      <w:bodyDiv w:val="1"/>
      <w:marLeft w:val="0"/>
      <w:marRight w:val="0"/>
      <w:marTop w:val="0"/>
      <w:marBottom w:val="0"/>
      <w:divBdr>
        <w:top w:val="none" w:sz="0" w:space="0" w:color="auto"/>
        <w:left w:val="none" w:sz="0" w:space="0" w:color="auto"/>
        <w:bottom w:val="none" w:sz="0" w:space="0" w:color="auto"/>
        <w:right w:val="none" w:sz="0" w:space="0" w:color="auto"/>
      </w:divBdr>
    </w:div>
    <w:div w:id="468087591">
      <w:bodyDiv w:val="1"/>
      <w:marLeft w:val="0"/>
      <w:marRight w:val="0"/>
      <w:marTop w:val="0"/>
      <w:marBottom w:val="0"/>
      <w:divBdr>
        <w:top w:val="none" w:sz="0" w:space="0" w:color="auto"/>
        <w:left w:val="none" w:sz="0" w:space="0" w:color="auto"/>
        <w:bottom w:val="none" w:sz="0" w:space="0" w:color="auto"/>
        <w:right w:val="none" w:sz="0" w:space="0" w:color="auto"/>
      </w:divBdr>
    </w:div>
    <w:div w:id="468861120">
      <w:bodyDiv w:val="1"/>
      <w:marLeft w:val="0"/>
      <w:marRight w:val="0"/>
      <w:marTop w:val="0"/>
      <w:marBottom w:val="0"/>
      <w:divBdr>
        <w:top w:val="none" w:sz="0" w:space="0" w:color="auto"/>
        <w:left w:val="none" w:sz="0" w:space="0" w:color="auto"/>
        <w:bottom w:val="none" w:sz="0" w:space="0" w:color="auto"/>
        <w:right w:val="none" w:sz="0" w:space="0" w:color="auto"/>
      </w:divBdr>
    </w:div>
    <w:div w:id="474447634">
      <w:bodyDiv w:val="1"/>
      <w:marLeft w:val="0"/>
      <w:marRight w:val="0"/>
      <w:marTop w:val="0"/>
      <w:marBottom w:val="0"/>
      <w:divBdr>
        <w:top w:val="none" w:sz="0" w:space="0" w:color="auto"/>
        <w:left w:val="none" w:sz="0" w:space="0" w:color="auto"/>
        <w:bottom w:val="none" w:sz="0" w:space="0" w:color="auto"/>
        <w:right w:val="none" w:sz="0" w:space="0" w:color="auto"/>
      </w:divBdr>
    </w:div>
    <w:div w:id="475221024">
      <w:bodyDiv w:val="1"/>
      <w:marLeft w:val="0"/>
      <w:marRight w:val="0"/>
      <w:marTop w:val="0"/>
      <w:marBottom w:val="0"/>
      <w:divBdr>
        <w:top w:val="none" w:sz="0" w:space="0" w:color="auto"/>
        <w:left w:val="none" w:sz="0" w:space="0" w:color="auto"/>
        <w:bottom w:val="none" w:sz="0" w:space="0" w:color="auto"/>
        <w:right w:val="none" w:sz="0" w:space="0" w:color="auto"/>
      </w:divBdr>
    </w:div>
    <w:div w:id="475726804">
      <w:bodyDiv w:val="1"/>
      <w:marLeft w:val="0"/>
      <w:marRight w:val="0"/>
      <w:marTop w:val="0"/>
      <w:marBottom w:val="0"/>
      <w:divBdr>
        <w:top w:val="none" w:sz="0" w:space="0" w:color="auto"/>
        <w:left w:val="none" w:sz="0" w:space="0" w:color="auto"/>
        <w:bottom w:val="none" w:sz="0" w:space="0" w:color="auto"/>
        <w:right w:val="none" w:sz="0" w:space="0" w:color="auto"/>
      </w:divBdr>
    </w:div>
    <w:div w:id="477501653">
      <w:bodyDiv w:val="1"/>
      <w:marLeft w:val="0"/>
      <w:marRight w:val="0"/>
      <w:marTop w:val="0"/>
      <w:marBottom w:val="0"/>
      <w:divBdr>
        <w:top w:val="none" w:sz="0" w:space="0" w:color="auto"/>
        <w:left w:val="none" w:sz="0" w:space="0" w:color="auto"/>
        <w:bottom w:val="none" w:sz="0" w:space="0" w:color="auto"/>
        <w:right w:val="none" w:sz="0" w:space="0" w:color="auto"/>
      </w:divBdr>
    </w:div>
    <w:div w:id="479081015">
      <w:bodyDiv w:val="1"/>
      <w:marLeft w:val="0"/>
      <w:marRight w:val="0"/>
      <w:marTop w:val="0"/>
      <w:marBottom w:val="0"/>
      <w:divBdr>
        <w:top w:val="none" w:sz="0" w:space="0" w:color="auto"/>
        <w:left w:val="none" w:sz="0" w:space="0" w:color="auto"/>
        <w:bottom w:val="none" w:sz="0" w:space="0" w:color="auto"/>
        <w:right w:val="none" w:sz="0" w:space="0" w:color="auto"/>
      </w:divBdr>
    </w:div>
    <w:div w:id="479271411">
      <w:bodyDiv w:val="1"/>
      <w:marLeft w:val="0"/>
      <w:marRight w:val="0"/>
      <w:marTop w:val="0"/>
      <w:marBottom w:val="0"/>
      <w:divBdr>
        <w:top w:val="none" w:sz="0" w:space="0" w:color="auto"/>
        <w:left w:val="none" w:sz="0" w:space="0" w:color="auto"/>
        <w:bottom w:val="none" w:sz="0" w:space="0" w:color="auto"/>
        <w:right w:val="none" w:sz="0" w:space="0" w:color="auto"/>
      </w:divBdr>
    </w:div>
    <w:div w:id="480117963">
      <w:bodyDiv w:val="1"/>
      <w:marLeft w:val="0"/>
      <w:marRight w:val="0"/>
      <w:marTop w:val="0"/>
      <w:marBottom w:val="0"/>
      <w:divBdr>
        <w:top w:val="none" w:sz="0" w:space="0" w:color="auto"/>
        <w:left w:val="none" w:sz="0" w:space="0" w:color="auto"/>
        <w:bottom w:val="none" w:sz="0" w:space="0" w:color="auto"/>
        <w:right w:val="none" w:sz="0" w:space="0" w:color="auto"/>
      </w:divBdr>
    </w:div>
    <w:div w:id="482166228">
      <w:bodyDiv w:val="1"/>
      <w:marLeft w:val="0"/>
      <w:marRight w:val="0"/>
      <w:marTop w:val="0"/>
      <w:marBottom w:val="0"/>
      <w:divBdr>
        <w:top w:val="none" w:sz="0" w:space="0" w:color="auto"/>
        <w:left w:val="none" w:sz="0" w:space="0" w:color="auto"/>
        <w:bottom w:val="none" w:sz="0" w:space="0" w:color="auto"/>
        <w:right w:val="none" w:sz="0" w:space="0" w:color="auto"/>
      </w:divBdr>
    </w:div>
    <w:div w:id="483157874">
      <w:bodyDiv w:val="1"/>
      <w:marLeft w:val="0"/>
      <w:marRight w:val="0"/>
      <w:marTop w:val="0"/>
      <w:marBottom w:val="0"/>
      <w:divBdr>
        <w:top w:val="none" w:sz="0" w:space="0" w:color="auto"/>
        <w:left w:val="none" w:sz="0" w:space="0" w:color="auto"/>
        <w:bottom w:val="none" w:sz="0" w:space="0" w:color="auto"/>
        <w:right w:val="none" w:sz="0" w:space="0" w:color="auto"/>
      </w:divBdr>
    </w:div>
    <w:div w:id="491531979">
      <w:bodyDiv w:val="1"/>
      <w:marLeft w:val="0"/>
      <w:marRight w:val="0"/>
      <w:marTop w:val="0"/>
      <w:marBottom w:val="0"/>
      <w:divBdr>
        <w:top w:val="none" w:sz="0" w:space="0" w:color="auto"/>
        <w:left w:val="none" w:sz="0" w:space="0" w:color="auto"/>
        <w:bottom w:val="none" w:sz="0" w:space="0" w:color="auto"/>
        <w:right w:val="none" w:sz="0" w:space="0" w:color="auto"/>
      </w:divBdr>
    </w:div>
    <w:div w:id="504247131">
      <w:bodyDiv w:val="1"/>
      <w:marLeft w:val="0"/>
      <w:marRight w:val="0"/>
      <w:marTop w:val="0"/>
      <w:marBottom w:val="0"/>
      <w:divBdr>
        <w:top w:val="none" w:sz="0" w:space="0" w:color="auto"/>
        <w:left w:val="none" w:sz="0" w:space="0" w:color="auto"/>
        <w:bottom w:val="none" w:sz="0" w:space="0" w:color="auto"/>
        <w:right w:val="none" w:sz="0" w:space="0" w:color="auto"/>
      </w:divBdr>
    </w:div>
    <w:div w:id="505439013">
      <w:bodyDiv w:val="1"/>
      <w:marLeft w:val="0"/>
      <w:marRight w:val="0"/>
      <w:marTop w:val="0"/>
      <w:marBottom w:val="0"/>
      <w:divBdr>
        <w:top w:val="none" w:sz="0" w:space="0" w:color="auto"/>
        <w:left w:val="none" w:sz="0" w:space="0" w:color="auto"/>
        <w:bottom w:val="none" w:sz="0" w:space="0" w:color="auto"/>
        <w:right w:val="none" w:sz="0" w:space="0" w:color="auto"/>
      </w:divBdr>
    </w:div>
    <w:div w:id="508300634">
      <w:bodyDiv w:val="1"/>
      <w:marLeft w:val="0"/>
      <w:marRight w:val="0"/>
      <w:marTop w:val="0"/>
      <w:marBottom w:val="0"/>
      <w:divBdr>
        <w:top w:val="none" w:sz="0" w:space="0" w:color="auto"/>
        <w:left w:val="none" w:sz="0" w:space="0" w:color="auto"/>
        <w:bottom w:val="none" w:sz="0" w:space="0" w:color="auto"/>
        <w:right w:val="none" w:sz="0" w:space="0" w:color="auto"/>
      </w:divBdr>
    </w:div>
    <w:div w:id="517625116">
      <w:bodyDiv w:val="1"/>
      <w:marLeft w:val="0"/>
      <w:marRight w:val="0"/>
      <w:marTop w:val="0"/>
      <w:marBottom w:val="0"/>
      <w:divBdr>
        <w:top w:val="none" w:sz="0" w:space="0" w:color="auto"/>
        <w:left w:val="none" w:sz="0" w:space="0" w:color="auto"/>
        <w:bottom w:val="none" w:sz="0" w:space="0" w:color="auto"/>
        <w:right w:val="none" w:sz="0" w:space="0" w:color="auto"/>
      </w:divBdr>
    </w:div>
    <w:div w:id="519046202">
      <w:bodyDiv w:val="1"/>
      <w:marLeft w:val="0"/>
      <w:marRight w:val="0"/>
      <w:marTop w:val="0"/>
      <w:marBottom w:val="0"/>
      <w:divBdr>
        <w:top w:val="none" w:sz="0" w:space="0" w:color="auto"/>
        <w:left w:val="none" w:sz="0" w:space="0" w:color="auto"/>
        <w:bottom w:val="none" w:sz="0" w:space="0" w:color="auto"/>
        <w:right w:val="none" w:sz="0" w:space="0" w:color="auto"/>
      </w:divBdr>
    </w:div>
    <w:div w:id="526061160">
      <w:bodyDiv w:val="1"/>
      <w:marLeft w:val="0"/>
      <w:marRight w:val="0"/>
      <w:marTop w:val="0"/>
      <w:marBottom w:val="0"/>
      <w:divBdr>
        <w:top w:val="none" w:sz="0" w:space="0" w:color="auto"/>
        <w:left w:val="none" w:sz="0" w:space="0" w:color="auto"/>
        <w:bottom w:val="none" w:sz="0" w:space="0" w:color="auto"/>
        <w:right w:val="none" w:sz="0" w:space="0" w:color="auto"/>
      </w:divBdr>
      <w:divsChild>
        <w:div w:id="2105569789">
          <w:marLeft w:val="0"/>
          <w:marRight w:val="0"/>
          <w:marTop w:val="0"/>
          <w:marBottom w:val="0"/>
          <w:divBdr>
            <w:top w:val="none" w:sz="0" w:space="0" w:color="auto"/>
            <w:left w:val="none" w:sz="0" w:space="0" w:color="auto"/>
            <w:bottom w:val="none" w:sz="0" w:space="0" w:color="auto"/>
            <w:right w:val="none" w:sz="0" w:space="0" w:color="auto"/>
          </w:divBdr>
          <w:divsChild>
            <w:div w:id="146377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411969">
      <w:bodyDiv w:val="1"/>
      <w:marLeft w:val="0"/>
      <w:marRight w:val="0"/>
      <w:marTop w:val="0"/>
      <w:marBottom w:val="0"/>
      <w:divBdr>
        <w:top w:val="none" w:sz="0" w:space="0" w:color="auto"/>
        <w:left w:val="none" w:sz="0" w:space="0" w:color="auto"/>
        <w:bottom w:val="none" w:sz="0" w:space="0" w:color="auto"/>
        <w:right w:val="none" w:sz="0" w:space="0" w:color="auto"/>
      </w:divBdr>
    </w:div>
    <w:div w:id="528370232">
      <w:bodyDiv w:val="1"/>
      <w:marLeft w:val="0"/>
      <w:marRight w:val="0"/>
      <w:marTop w:val="0"/>
      <w:marBottom w:val="0"/>
      <w:divBdr>
        <w:top w:val="none" w:sz="0" w:space="0" w:color="auto"/>
        <w:left w:val="none" w:sz="0" w:space="0" w:color="auto"/>
        <w:bottom w:val="none" w:sz="0" w:space="0" w:color="auto"/>
        <w:right w:val="none" w:sz="0" w:space="0" w:color="auto"/>
      </w:divBdr>
    </w:div>
    <w:div w:id="533226501">
      <w:bodyDiv w:val="1"/>
      <w:marLeft w:val="0"/>
      <w:marRight w:val="0"/>
      <w:marTop w:val="0"/>
      <w:marBottom w:val="0"/>
      <w:divBdr>
        <w:top w:val="none" w:sz="0" w:space="0" w:color="auto"/>
        <w:left w:val="none" w:sz="0" w:space="0" w:color="auto"/>
        <w:bottom w:val="none" w:sz="0" w:space="0" w:color="auto"/>
        <w:right w:val="none" w:sz="0" w:space="0" w:color="auto"/>
      </w:divBdr>
    </w:div>
    <w:div w:id="534539029">
      <w:bodyDiv w:val="1"/>
      <w:marLeft w:val="0"/>
      <w:marRight w:val="0"/>
      <w:marTop w:val="0"/>
      <w:marBottom w:val="0"/>
      <w:divBdr>
        <w:top w:val="none" w:sz="0" w:space="0" w:color="auto"/>
        <w:left w:val="none" w:sz="0" w:space="0" w:color="auto"/>
        <w:bottom w:val="none" w:sz="0" w:space="0" w:color="auto"/>
        <w:right w:val="none" w:sz="0" w:space="0" w:color="auto"/>
      </w:divBdr>
    </w:div>
    <w:div w:id="538050837">
      <w:bodyDiv w:val="1"/>
      <w:marLeft w:val="0"/>
      <w:marRight w:val="0"/>
      <w:marTop w:val="0"/>
      <w:marBottom w:val="0"/>
      <w:divBdr>
        <w:top w:val="none" w:sz="0" w:space="0" w:color="auto"/>
        <w:left w:val="none" w:sz="0" w:space="0" w:color="auto"/>
        <w:bottom w:val="none" w:sz="0" w:space="0" w:color="auto"/>
        <w:right w:val="none" w:sz="0" w:space="0" w:color="auto"/>
      </w:divBdr>
    </w:div>
    <w:div w:id="540943913">
      <w:bodyDiv w:val="1"/>
      <w:marLeft w:val="0"/>
      <w:marRight w:val="0"/>
      <w:marTop w:val="0"/>
      <w:marBottom w:val="0"/>
      <w:divBdr>
        <w:top w:val="none" w:sz="0" w:space="0" w:color="auto"/>
        <w:left w:val="none" w:sz="0" w:space="0" w:color="auto"/>
        <w:bottom w:val="none" w:sz="0" w:space="0" w:color="auto"/>
        <w:right w:val="none" w:sz="0" w:space="0" w:color="auto"/>
      </w:divBdr>
    </w:div>
    <w:div w:id="546798263">
      <w:bodyDiv w:val="1"/>
      <w:marLeft w:val="0"/>
      <w:marRight w:val="0"/>
      <w:marTop w:val="0"/>
      <w:marBottom w:val="0"/>
      <w:divBdr>
        <w:top w:val="none" w:sz="0" w:space="0" w:color="auto"/>
        <w:left w:val="none" w:sz="0" w:space="0" w:color="auto"/>
        <w:bottom w:val="none" w:sz="0" w:space="0" w:color="auto"/>
        <w:right w:val="none" w:sz="0" w:space="0" w:color="auto"/>
      </w:divBdr>
    </w:div>
    <w:div w:id="547300509">
      <w:bodyDiv w:val="1"/>
      <w:marLeft w:val="0"/>
      <w:marRight w:val="0"/>
      <w:marTop w:val="0"/>
      <w:marBottom w:val="0"/>
      <w:divBdr>
        <w:top w:val="none" w:sz="0" w:space="0" w:color="auto"/>
        <w:left w:val="none" w:sz="0" w:space="0" w:color="auto"/>
        <w:bottom w:val="none" w:sz="0" w:space="0" w:color="auto"/>
        <w:right w:val="none" w:sz="0" w:space="0" w:color="auto"/>
      </w:divBdr>
    </w:div>
    <w:div w:id="548801520">
      <w:bodyDiv w:val="1"/>
      <w:marLeft w:val="0"/>
      <w:marRight w:val="0"/>
      <w:marTop w:val="0"/>
      <w:marBottom w:val="0"/>
      <w:divBdr>
        <w:top w:val="none" w:sz="0" w:space="0" w:color="auto"/>
        <w:left w:val="none" w:sz="0" w:space="0" w:color="auto"/>
        <w:bottom w:val="none" w:sz="0" w:space="0" w:color="auto"/>
        <w:right w:val="none" w:sz="0" w:space="0" w:color="auto"/>
      </w:divBdr>
    </w:div>
    <w:div w:id="553732759">
      <w:bodyDiv w:val="1"/>
      <w:marLeft w:val="0"/>
      <w:marRight w:val="0"/>
      <w:marTop w:val="0"/>
      <w:marBottom w:val="0"/>
      <w:divBdr>
        <w:top w:val="none" w:sz="0" w:space="0" w:color="auto"/>
        <w:left w:val="none" w:sz="0" w:space="0" w:color="auto"/>
        <w:bottom w:val="none" w:sz="0" w:space="0" w:color="auto"/>
        <w:right w:val="none" w:sz="0" w:space="0" w:color="auto"/>
      </w:divBdr>
    </w:div>
    <w:div w:id="560021474">
      <w:bodyDiv w:val="1"/>
      <w:marLeft w:val="0"/>
      <w:marRight w:val="0"/>
      <w:marTop w:val="0"/>
      <w:marBottom w:val="0"/>
      <w:divBdr>
        <w:top w:val="none" w:sz="0" w:space="0" w:color="auto"/>
        <w:left w:val="none" w:sz="0" w:space="0" w:color="auto"/>
        <w:bottom w:val="none" w:sz="0" w:space="0" w:color="auto"/>
        <w:right w:val="none" w:sz="0" w:space="0" w:color="auto"/>
      </w:divBdr>
      <w:divsChild>
        <w:div w:id="62915522">
          <w:marLeft w:val="480"/>
          <w:marRight w:val="0"/>
          <w:marTop w:val="0"/>
          <w:marBottom w:val="0"/>
          <w:divBdr>
            <w:top w:val="none" w:sz="0" w:space="0" w:color="auto"/>
            <w:left w:val="none" w:sz="0" w:space="0" w:color="auto"/>
            <w:bottom w:val="none" w:sz="0" w:space="0" w:color="auto"/>
            <w:right w:val="none" w:sz="0" w:space="0" w:color="auto"/>
          </w:divBdr>
          <w:divsChild>
            <w:div w:id="11036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989146">
      <w:bodyDiv w:val="1"/>
      <w:marLeft w:val="0"/>
      <w:marRight w:val="0"/>
      <w:marTop w:val="0"/>
      <w:marBottom w:val="0"/>
      <w:divBdr>
        <w:top w:val="none" w:sz="0" w:space="0" w:color="auto"/>
        <w:left w:val="none" w:sz="0" w:space="0" w:color="auto"/>
        <w:bottom w:val="none" w:sz="0" w:space="0" w:color="auto"/>
        <w:right w:val="none" w:sz="0" w:space="0" w:color="auto"/>
      </w:divBdr>
    </w:div>
    <w:div w:id="567420465">
      <w:bodyDiv w:val="1"/>
      <w:marLeft w:val="0"/>
      <w:marRight w:val="0"/>
      <w:marTop w:val="0"/>
      <w:marBottom w:val="0"/>
      <w:divBdr>
        <w:top w:val="none" w:sz="0" w:space="0" w:color="auto"/>
        <w:left w:val="none" w:sz="0" w:space="0" w:color="auto"/>
        <w:bottom w:val="none" w:sz="0" w:space="0" w:color="auto"/>
        <w:right w:val="none" w:sz="0" w:space="0" w:color="auto"/>
      </w:divBdr>
    </w:div>
    <w:div w:id="568733867">
      <w:bodyDiv w:val="1"/>
      <w:marLeft w:val="0"/>
      <w:marRight w:val="0"/>
      <w:marTop w:val="0"/>
      <w:marBottom w:val="0"/>
      <w:divBdr>
        <w:top w:val="none" w:sz="0" w:space="0" w:color="auto"/>
        <w:left w:val="none" w:sz="0" w:space="0" w:color="auto"/>
        <w:bottom w:val="none" w:sz="0" w:space="0" w:color="auto"/>
        <w:right w:val="none" w:sz="0" w:space="0" w:color="auto"/>
      </w:divBdr>
    </w:div>
    <w:div w:id="569002764">
      <w:bodyDiv w:val="1"/>
      <w:marLeft w:val="0"/>
      <w:marRight w:val="0"/>
      <w:marTop w:val="0"/>
      <w:marBottom w:val="0"/>
      <w:divBdr>
        <w:top w:val="none" w:sz="0" w:space="0" w:color="auto"/>
        <w:left w:val="none" w:sz="0" w:space="0" w:color="auto"/>
        <w:bottom w:val="none" w:sz="0" w:space="0" w:color="auto"/>
        <w:right w:val="none" w:sz="0" w:space="0" w:color="auto"/>
      </w:divBdr>
    </w:div>
    <w:div w:id="578910613">
      <w:bodyDiv w:val="1"/>
      <w:marLeft w:val="0"/>
      <w:marRight w:val="0"/>
      <w:marTop w:val="0"/>
      <w:marBottom w:val="0"/>
      <w:divBdr>
        <w:top w:val="none" w:sz="0" w:space="0" w:color="auto"/>
        <w:left w:val="none" w:sz="0" w:space="0" w:color="auto"/>
        <w:bottom w:val="none" w:sz="0" w:space="0" w:color="auto"/>
        <w:right w:val="none" w:sz="0" w:space="0" w:color="auto"/>
      </w:divBdr>
    </w:div>
    <w:div w:id="586621556">
      <w:bodyDiv w:val="1"/>
      <w:marLeft w:val="0"/>
      <w:marRight w:val="0"/>
      <w:marTop w:val="0"/>
      <w:marBottom w:val="0"/>
      <w:divBdr>
        <w:top w:val="none" w:sz="0" w:space="0" w:color="auto"/>
        <w:left w:val="none" w:sz="0" w:space="0" w:color="auto"/>
        <w:bottom w:val="none" w:sz="0" w:space="0" w:color="auto"/>
        <w:right w:val="none" w:sz="0" w:space="0" w:color="auto"/>
      </w:divBdr>
    </w:div>
    <w:div w:id="591620384">
      <w:bodyDiv w:val="1"/>
      <w:marLeft w:val="0"/>
      <w:marRight w:val="0"/>
      <w:marTop w:val="0"/>
      <w:marBottom w:val="0"/>
      <w:divBdr>
        <w:top w:val="none" w:sz="0" w:space="0" w:color="auto"/>
        <w:left w:val="none" w:sz="0" w:space="0" w:color="auto"/>
        <w:bottom w:val="none" w:sz="0" w:space="0" w:color="auto"/>
        <w:right w:val="none" w:sz="0" w:space="0" w:color="auto"/>
      </w:divBdr>
    </w:div>
    <w:div w:id="591671998">
      <w:bodyDiv w:val="1"/>
      <w:marLeft w:val="0"/>
      <w:marRight w:val="0"/>
      <w:marTop w:val="0"/>
      <w:marBottom w:val="0"/>
      <w:divBdr>
        <w:top w:val="none" w:sz="0" w:space="0" w:color="auto"/>
        <w:left w:val="none" w:sz="0" w:space="0" w:color="auto"/>
        <w:bottom w:val="none" w:sz="0" w:space="0" w:color="auto"/>
        <w:right w:val="none" w:sz="0" w:space="0" w:color="auto"/>
      </w:divBdr>
    </w:div>
    <w:div w:id="596404356">
      <w:bodyDiv w:val="1"/>
      <w:marLeft w:val="0"/>
      <w:marRight w:val="0"/>
      <w:marTop w:val="0"/>
      <w:marBottom w:val="0"/>
      <w:divBdr>
        <w:top w:val="none" w:sz="0" w:space="0" w:color="auto"/>
        <w:left w:val="none" w:sz="0" w:space="0" w:color="auto"/>
        <w:bottom w:val="none" w:sz="0" w:space="0" w:color="auto"/>
        <w:right w:val="none" w:sz="0" w:space="0" w:color="auto"/>
      </w:divBdr>
    </w:div>
    <w:div w:id="598953321">
      <w:bodyDiv w:val="1"/>
      <w:marLeft w:val="0"/>
      <w:marRight w:val="0"/>
      <w:marTop w:val="0"/>
      <w:marBottom w:val="0"/>
      <w:divBdr>
        <w:top w:val="none" w:sz="0" w:space="0" w:color="auto"/>
        <w:left w:val="none" w:sz="0" w:space="0" w:color="auto"/>
        <w:bottom w:val="none" w:sz="0" w:space="0" w:color="auto"/>
        <w:right w:val="none" w:sz="0" w:space="0" w:color="auto"/>
      </w:divBdr>
    </w:div>
    <w:div w:id="599066314">
      <w:bodyDiv w:val="1"/>
      <w:marLeft w:val="0"/>
      <w:marRight w:val="0"/>
      <w:marTop w:val="0"/>
      <w:marBottom w:val="0"/>
      <w:divBdr>
        <w:top w:val="none" w:sz="0" w:space="0" w:color="auto"/>
        <w:left w:val="none" w:sz="0" w:space="0" w:color="auto"/>
        <w:bottom w:val="none" w:sz="0" w:space="0" w:color="auto"/>
        <w:right w:val="none" w:sz="0" w:space="0" w:color="auto"/>
      </w:divBdr>
    </w:div>
    <w:div w:id="599066322">
      <w:bodyDiv w:val="1"/>
      <w:marLeft w:val="0"/>
      <w:marRight w:val="0"/>
      <w:marTop w:val="0"/>
      <w:marBottom w:val="0"/>
      <w:divBdr>
        <w:top w:val="none" w:sz="0" w:space="0" w:color="auto"/>
        <w:left w:val="none" w:sz="0" w:space="0" w:color="auto"/>
        <w:bottom w:val="none" w:sz="0" w:space="0" w:color="auto"/>
        <w:right w:val="none" w:sz="0" w:space="0" w:color="auto"/>
      </w:divBdr>
    </w:div>
    <w:div w:id="600377084">
      <w:bodyDiv w:val="1"/>
      <w:marLeft w:val="0"/>
      <w:marRight w:val="0"/>
      <w:marTop w:val="0"/>
      <w:marBottom w:val="0"/>
      <w:divBdr>
        <w:top w:val="none" w:sz="0" w:space="0" w:color="auto"/>
        <w:left w:val="none" w:sz="0" w:space="0" w:color="auto"/>
        <w:bottom w:val="none" w:sz="0" w:space="0" w:color="auto"/>
        <w:right w:val="none" w:sz="0" w:space="0" w:color="auto"/>
      </w:divBdr>
    </w:div>
    <w:div w:id="601957270">
      <w:bodyDiv w:val="1"/>
      <w:marLeft w:val="0"/>
      <w:marRight w:val="0"/>
      <w:marTop w:val="0"/>
      <w:marBottom w:val="0"/>
      <w:divBdr>
        <w:top w:val="none" w:sz="0" w:space="0" w:color="auto"/>
        <w:left w:val="none" w:sz="0" w:space="0" w:color="auto"/>
        <w:bottom w:val="none" w:sz="0" w:space="0" w:color="auto"/>
        <w:right w:val="none" w:sz="0" w:space="0" w:color="auto"/>
      </w:divBdr>
    </w:div>
    <w:div w:id="602153271">
      <w:bodyDiv w:val="1"/>
      <w:marLeft w:val="0"/>
      <w:marRight w:val="0"/>
      <w:marTop w:val="0"/>
      <w:marBottom w:val="0"/>
      <w:divBdr>
        <w:top w:val="none" w:sz="0" w:space="0" w:color="auto"/>
        <w:left w:val="none" w:sz="0" w:space="0" w:color="auto"/>
        <w:bottom w:val="none" w:sz="0" w:space="0" w:color="auto"/>
        <w:right w:val="none" w:sz="0" w:space="0" w:color="auto"/>
      </w:divBdr>
    </w:div>
    <w:div w:id="602999565">
      <w:bodyDiv w:val="1"/>
      <w:marLeft w:val="0"/>
      <w:marRight w:val="0"/>
      <w:marTop w:val="0"/>
      <w:marBottom w:val="0"/>
      <w:divBdr>
        <w:top w:val="none" w:sz="0" w:space="0" w:color="auto"/>
        <w:left w:val="none" w:sz="0" w:space="0" w:color="auto"/>
        <w:bottom w:val="none" w:sz="0" w:space="0" w:color="auto"/>
        <w:right w:val="none" w:sz="0" w:space="0" w:color="auto"/>
      </w:divBdr>
    </w:div>
    <w:div w:id="603222039">
      <w:bodyDiv w:val="1"/>
      <w:marLeft w:val="0"/>
      <w:marRight w:val="0"/>
      <w:marTop w:val="0"/>
      <w:marBottom w:val="0"/>
      <w:divBdr>
        <w:top w:val="none" w:sz="0" w:space="0" w:color="auto"/>
        <w:left w:val="none" w:sz="0" w:space="0" w:color="auto"/>
        <w:bottom w:val="none" w:sz="0" w:space="0" w:color="auto"/>
        <w:right w:val="none" w:sz="0" w:space="0" w:color="auto"/>
      </w:divBdr>
    </w:div>
    <w:div w:id="606275440">
      <w:bodyDiv w:val="1"/>
      <w:marLeft w:val="0"/>
      <w:marRight w:val="0"/>
      <w:marTop w:val="0"/>
      <w:marBottom w:val="0"/>
      <w:divBdr>
        <w:top w:val="none" w:sz="0" w:space="0" w:color="auto"/>
        <w:left w:val="none" w:sz="0" w:space="0" w:color="auto"/>
        <w:bottom w:val="none" w:sz="0" w:space="0" w:color="auto"/>
        <w:right w:val="none" w:sz="0" w:space="0" w:color="auto"/>
      </w:divBdr>
    </w:div>
    <w:div w:id="608971533">
      <w:bodyDiv w:val="1"/>
      <w:marLeft w:val="0"/>
      <w:marRight w:val="0"/>
      <w:marTop w:val="0"/>
      <w:marBottom w:val="0"/>
      <w:divBdr>
        <w:top w:val="none" w:sz="0" w:space="0" w:color="auto"/>
        <w:left w:val="none" w:sz="0" w:space="0" w:color="auto"/>
        <w:bottom w:val="none" w:sz="0" w:space="0" w:color="auto"/>
        <w:right w:val="none" w:sz="0" w:space="0" w:color="auto"/>
      </w:divBdr>
    </w:div>
    <w:div w:id="609094500">
      <w:bodyDiv w:val="1"/>
      <w:marLeft w:val="0"/>
      <w:marRight w:val="0"/>
      <w:marTop w:val="0"/>
      <w:marBottom w:val="0"/>
      <w:divBdr>
        <w:top w:val="none" w:sz="0" w:space="0" w:color="auto"/>
        <w:left w:val="none" w:sz="0" w:space="0" w:color="auto"/>
        <w:bottom w:val="none" w:sz="0" w:space="0" w:color="auto"/>
        <w:right w:val="none" w:sz="0" w:space="0" w:color="auto"/>
      </w:divBdr>
    </w:div>
    <w:div w:id="609238338">
      <w:bodyDiv w:val="1"/>
      <w:marLeft w:val="0"/>
      <w:marRight w:val="0"/>
      <w:marTop w:val="0"/>
      <w:marBottom w:val="0"/>
      <w:divBdr>
        <w:top w:val="none" w:sz="0" w:space="0" w:color="auto"/>
        <w:left w:val="none" w:sz="0" w:space="0" w:color="auto"/>
        <w:bottom w:val="none" w:sz="0" w:space="0" w:color="auto"/>
        <w:right w:val="none" w:sz="0" w:space="0" w:color="auto"/>
      </w:divBdr>
    </w:div>
    <w:div w:id="610015759">
      <w:bodyDiv w:val="1"/>
      <w:marLeft w:val="0"/>
      <w:marRight w:val="0"/>
      <w:marTop w:val="0"/>
      <w:marBottom w:val="0"/>
      <w:divBdr>
        <w:top w:val="none" w:sz="0" w:space="0" w:color="auto"/>
        <w:left w:val="none" w:sz="0" w:space="0" w:color="auto"/>
        <w:bottom w:val="none" w:sz="0" w:space="0" w:color="auto"/>
        <w:right w:val="none" w:sz="0" w:space="0" w:color="auto"/>
      </w:divBdr>
    </w:div>
    <w:div w:id="610207255">
      <w:bodyDiv w:val="1"/>
      <w:marLeft w:val="0"/>
      <w:marRight w:val="0"/>
      <w:marTop w:val="0"/>
      <w:marBottom w:val="0"/>
      <w:divBdr>
        <w:top w:val="none" w:sz="0" w:space="0" w:color="auto"/>
        <w:left w:val="none" w:sz="0" w:space="0" w:color="auto"/>
        <w:bottom w:val="none" w:sz="0" w:space="0" w:color="auto"/>
        <w:right w:val="none" w:sz="0" w:space="0" w:color="auto"/>
      </w:divBdr>
    </w:div>
    <w:div w:id="610209685">
      <w:bodyDiv w:val="1"/>
      <w:marLeft w:val="0"/>
      <w:marRight w:val="0"/>
      <w:marTop w:val="0"/>
      <w:marBottom w:val="0"/>
      <w:divBdr>
        <w:top w:val="none" w:sz="0" w:space="0" w:color="auto"/>
        <w:left w:val="none" w:sz="0" w:space="0" w:color="auto"/>
        <w:bottom w:val="none" w:sz="0" w:space="0" w:color="auto"/>
        <w:right w:val="none" w:sz="0" w:space="0" w:color="auto"/>
      </w:divBdr>
    </w:div>
    <w:div w:id="613440359">
      <w:bodyDiv w:val="1"/>
      <w:marLeft w:val="0"/>
      <w:marRight w:val="0"/>
      <w:marTop w:val="0"/>
      <w:marBottom w:val="0"/>
      <w:divBdr>
        <w:top w:val="none" w:sz="0" w:space="0" w:color="auto"/>
        <w:left w:val="none" w:sz="0" w:space="0" w:color="auto"/>
        <w:bottom w:val="none" w:sz="0" w:space="0" w:color="auto"/>
        <w:right w:val="none" w:sz="0" w:space="0" w:color="auto"/>
      </w:divBdr>
    </w:div>
    <w:div w:id="617878298">
      <w:bodyDiv w:val="1"/>
      <w:marLeft w:val="0"/>
      <w:marRight w:val="0"/>
      <w:marTop w:val="0"/>
      <w:marBottom w:val="0"/>
      <w:divBdr>
        <w:top w:val="none" w:sz="0" w:space="0" w:color="auto"/>
        <w:left w:val="none" w:sz="0" w:space="0" w:color="auto"/>
        <w:bottom w:val="none" w:sz="0" w:space="0" w:color="auto"/>
        <w:right w:val="none" w:sz="0" w:space="0" w:color="auto"/>
      </w:divBdr>
    </w:div>
    <w:div w:id="622006964">
      <w:bodyDiv w:val="1"/>
      <w:marLeft w:val="0"/>
      <w:marRight w:val="0"/>
      <w:marTop w:val="0"/>
      <w:marBottom w:val="0"/>
      <w:divBdr>
        <w:top w:val="none" w:sz="0" w:space="0" w:color="auto"/>
        <w:left w:val="none" w:sz="0" w:space="0" w:color="auto"/>
        <w:bottom w:val="none" w:sz="0" w:space="0" w:color="auto"/>
        <w:right w:val="none" w:sz="0" w:space="0" w:color="auto"/>
      </w:divBdr>
    </w:div>
    <w:div w:id="622617689">
      <w:bodyDiv w:val="1"/>
      <w:marLeft w:val="0"/>
      <w:marRight w:val="0"/>
      <w:marTop w:val="0"/>
      <w:marBottom w:val="0"/>
      <w:divBdr>
        <w:top w:val="none" w:sz="0" w:space="0" w:color="auto"/>
        <w:left w:val="none" w:sz="0" w:space="0" w:color="auto"/>
        <w:bottom w:val="none" w:sz="0" w:space="0" w:color="auto"/>
        <w:right w:val="none" w:sz="0" w:space="0" w:color="auto"/>
      </w:divBdr>
    </w:div>
    <w:div w:id="626854932">
      <w:bodyDiv w:val="1"/>
      <w:marLeft w:val="0"/>
      <w:marRight w:val="0"/>
      <w:marTop w:val="0"/>
      <w:marBottom w:val="0"/>
      <w:divBdr>
        <w:top w:val="none" w:sz="0" w:space="0" w:color="auto"/>
        <w:left w:val="none" w:sz="0" w:space="0" w:color="auto"/>
        <w:bottom w:val="none" w:sz="0" w:space="0" w:color="auto"/>
        <w:right w:val="none" w:sz="0" w:space="0" w:color="auto"/>
      </w:divBdr>
    </w:div>
    <w:div w:id="627125429">
      <w:bodyDiv w:val="1"/>
      <w:marLeft w:val="0"/>
      <w:marRight w:val="0"/>
      <w:marTop w:val="0"/>
      <w:marBottom w:val="0"/>
      <w:divBdr>
        <w:top w:val="none" w:sz="0" w:space="0" w:color="auto"/>
        <w:left w:val="none" w:sz="0" w:space="0" w:color="auto"/>
        <w:bottom w:val="none" w:sz="0" w:space="0" w:color="auto"/>
        <w:right w:val="none" w:sz="0" w:space="0" w:color="auto"/>
      </w:divBdr>
    </w:div>
    <w:div w:id="635067355">
      <w:bodyDiv w:val="1"/>
      <w:marLeft w:val="0"/>
      <w:marRight w:val="0"/>
      <w:marTop w:val="0"/>
      <w:marBottom w:val="0"/>
      <w:divBdr>
        <w:top w:val="none" w:sz="0" w:space="0" w:color="auto"/>
        <w:left w:val="none" w:sz="0" w:space="0" w:color="auto"/>
        <w:bottom w:val="none" w:sz="0" w:space="0" w:color="auto"/>
        <w:right w:val="none" w:sz="0" w:space="0" w:color="auto"/>
      </w:divBdr>
    </w:div>
    <w:div w:id="635184323">
      <w:bodyDiv w:val="1"/>
      <w:marLeft w:val="0"/>
      <w:marRight w:val="0"/>
      <w:marTop w:val="0"/>
      <w:marBottom w:val="0"/>
      <w:divBdr>
        <w:top w:val="none" w:sz="0" w:space="0" w:color="auto"/>
        <w:left w:val="none" w:sz="0" w:space="0" w:color="auto"/>
        <w:bottom w:val="none" w:sz="0" w:space="0" w:color="auto"/>
        <w:right w:val="none" w:sz="0" w:space="0" w:color="auto"/>
      </w:divBdr>
    </w:div>
    <w:div w:id="636881839">
      <w:bodyDiv w:val="1"/>
      <w:marLeft w:val="0"/>
      <w:marRight w:val="0"/>
      <w:marTop w:val="0"/>
      <w:marBottom w:val="0"/>
      <w:divBdr>
        <w:top w:val="none" w:sz="0" w:space="0" w:color="auto"/>
        <w:left w:val="none" w:sz="0" w:space="0" w:color="auto"/>
        <w:bottom w:val="none" w:sz="0" w:space="0" w:color="auto"/>
        <w:right w:val="none" w:sz="0" w:space="0" w:color="auto"/>
      </w:divBdr>
    </w:div>
    <w:div w:id="637536939">
      <w:bodyDiv w:val="1"/>
      <w:marLeft w:val="0"/>
      <w:marRight w:val="0"/>
      <w:marTop w:val="0"/>
      <w:marBottom w:val="0"/>
      <w:divBdr>
        <w:top w:val="none" w:sz="0" w:space="0" w:color="auto"/>
        <w:left w:val="none" w:sz="0" w:space="0" w:color="auto"/>
        <w:bottom w:val="none" w:sz="0" w:space="0" w:color="auto"/>
        <w:right w:val="none" w:sz="0" w:space="0" w:color="auto"/>
      </w:divBdr>
    </w:div>
    <w:div w:id="639194666">
      <w:bodyDiv w:val="1"/>
      <w:marLeft w:val="0"/>
      <w:marRight w:val="0"/>
      <w:marTop w:val="0"/>
      <w:marBottom w:val="0"/>
      <w:divBdr>
        <w:top w:val="none" w:sz="0" w:space="0" w:color="auto"/>
        <w:left w:val="none" w:sz="0" w:space="0" w:color="auto"/>
        <w:bottom w:val="none" w:sz="0" w:space="0" w:color="auto"/>
        <w:right w:val="none" w:sz="0" w:space="0" w:color="auto"/>
      </w:divBdr>
    </w:div>
    <w:div w:id="639965227">
      <w:bodyDiv w:val="1"/>
      <w:marLeft w:val="0"/>
      <w:marRight w:val="0"/>
      <w:marTop w:val="0"/>
      <w:marBottom w:val="0"/>
      <w:divBdr>
        <w:top w:val="none" w:sz="0" w:space="0" w:color="auto"/>
        <w:left w:val="none" w:sz="0" w:space="0" w:color="auto"/>
        <w:bottom w:val="none" w:sz="0" w:space="0" w:color="auto"/>
        <w:right w:val="none" w:sz="0" w:space="0" w:color="auto"/>
      </w:divBdr>
    </w:div>
    <w:div w:id="640884397">
      <w:bodyDiv w:val="1"/>
      <w:marLeft w:val="0"/>
      <w:marRight w:val="0"/>
      <w:marTop w:val="0"/>
      <w:marBottom w:val="0"/>
      <w:divBdr>
        <w:top w:val="none" w:sz="0" w:space="0" w:color="auto"/>
        <w:left w:val="none" w:sz="0" w:space="0" w:color="auto"/>
        <w:bottom w:val="none" w:sz="0" w:space="0" w:color="auto"/>
        <w:right w:val="none" w:sz="0" w:space="0" w:color="auto"/>
      </w:divBdr>
    </w:div>
    <w:div w:id="647247222">
      <w:bodyDiv w:val="1"/>
      <w:marLeft w:val="0"/>
      <w:marRight w:val="0"/>
      <w:marTop w:val="0"/>
      <w:marBottom w:val="0"/>
      <w:divBdr>
        <w:top w:val="none" w:sz="0" w:space="0" w:color="auto"/>
        <w:left w:val="none" w:sz="0" w:space="0" w:color="auto"/>
        <w:bottom w:val="none" w:sz="0" w:space="0" w:color="auto"/>
        <w:right w:val="none" w:sz="0" w:space="0" w:color="auto"/>
      </w:divBdr>
    </w:div>
    <w:div w:id="652487626">
      <w:bodyDiv w:val="1"/>
      <w:marLeft w:val="0"/>
      <w:marRight w:val="0"/>
      <w:marTop w:val="0"/>
      <w:marBottom w:val="0"/>
      <w:divBdr>
        <w:top w:val="none" w:sz="0" w:space="0" w:color="auto"/>
        <w:left w:val="none" w:sz="0" w:space="0" w:color="auto"/>
        <w:bottom w:val="none" w:sz="0" w:space="0" w:color="auto"/>
        <w:right w:val="none" w:sz="0" w:space="0" w:color="auto"/>
      </w:divBdr>
    </w:div>
    <w:div w:id="652954309">
      <w:bodyDiv w:val="1"/>
      <w:marLeft w:val="0"/>
      <w:marRight w:val="0"/>
      <w:marTop w:val="0"/>
      <w:marBottom w:val="0"/>
      <w:divBdr>
        <w:top w:val="none" w:sz="0" w:space="0" w:color="auto"/>
        <w:left w:val="none" w:sz="0" w:space="0" w:color="auto"/>
        <w:bottom w:val="none" w:sz="0" w:space="0" w:color="auto"/>
        <w:right w:val="none" w:sz="0" w:space="0" w:color="auto"/>
      </w:divBdr>
    </w:div>
    <w:div w:id="657465000">
      <w:bodyDiv w:val="1"/>
      <w:marLeft w:val="0"/>
      <w:marRight w:val="0"/>
      <w:marTop w:val="0"/>
      <w:marBottom w:val="0"/>
      <w:divBdr>
        <w:top w:val="none" w:sz="0" w:space="0" w:color="auto"/>
        <w:left w:val="none" w:sz="0" w:space="0" w:color="auto"/>
        <w:bottom w:val="none" w:sz="0" w:space="0" w:color="auto"/>
        <w:right w:val="none" w:sz="0" w:space="0" w:color="auto"/>
      </w:divBdr>
    </w:div>
    <w:div w:id="659233486">
      <w:bodyDiv w:val="1"/>
      <w:marLeft w:val="0"/>
      <w:marRight w:val="0"/>
      <w:marTop w:val="0"/>
      <w:marBottom w:val="0"/>
      <w:divBdr>
        <w:top w:val="none" w:sz="0" w:space="0" w:color="auto"/>
        <w:left w:val="none" w:sz="0" w:space="0" w:color="auto"/>
        <w:bottom w:val="none" w:sz="0" w:space="0" w:color="auto"/>
        <w:right w:val="none" w:sz="0" w:space="0" w:color="auto"/>
      </w:divBdr>
    </w:div>
    <w:div w:id="662045040">
      <w:bodyDiv w:val="1"/>
      <w:marLeft w:val="0"/>
      <w:marRight w:val="0"/>
      <w:marTop w:val="0"/>
      <w:marBottom w:val="0"/>
      <w:divBdr>
        <w:top w:val="none" w:sz="0" w:space="0" w:color="auto"/>
        <w:left w:val="none" w:sz="0" w:space="0" w:color="auto"/>
        <w:bottom w:val="none" w:sz="0" w:space="0" w:color="auto"/>
        <w:right w:val="none" w:sz="0" w:space="0" w:color="auto"/>
      </w:divBdr>
    </w:div>
    <w:div w:id="665397421">
      <w:bodyDiv w:val="1"/>
      <w:marLeft w:val="0"/>
      <w:marRight w:val="0"/>
      <w:marTop w:val="0"/>
      <w:marBottom w:val="0"/>
      <w:divBdr>
        <w:top w:val="none" w:sz="0" w:space="0" w:color="auto"/>
        <w:left w:val="none" w:sz="0" w:space="0" w:color="auto"/>
        <w:bottom w:val="none" w:sz="0" w:space="0" w:color="auto"/>
        <w:right w:val="none" w:sz="0" w:space="0" w:color="auto"/>
      </w:divBdr>
    </w:div>
    <w:div w:id="665790906">
      <w:bodyDiv w:val="1"/>
      <w:marLeft w:val="0"/>
      <w:marRight w:val="0"/>
      <w:marTop w:val="0"/>
      <w:marBottom w:val="0"/>
      <w:divBdr>
        <w:top w:val="none" w:sz="0" w:space="0" w:color="auto"/>
        <w:left w:val="none" w:sz="0" w:space="0" w:color="auto"/>
        <w:bottom w:val="none" w:sz="0" w:space="0" w:color="auto"/>
        <w:right w:val="none" w:sz="0" w:space="0" w:color="auto"/>
      </w:divBdr>
    </w:div>
    <w:div w:id="667294365">
      <w:bodyDiv w:val="1"/>
      <w:marLeft w:val="0"/>
      <w:marRight w:val="0"/>
      <w:marTop w:val="0"/>
      <w:marBottom w:val="0"/>
      <w:divBdr>
        <w:top w:val="none" w:sz="0" w:space="0" w:color="auto"/>
        <w:left w:val="none" w:sz="0" w:space="0" w:color="auto"/>
        <w:bottom w:val="none" w:sz="0" w:space="0" w:color="auto"/>
        <w:right w:val="none" w:sz="0" w:space="0" w:color="auto"/>
      </w:divBdr>
    </w:div>
    <w:div w:id="669721969">
      <w:bodyDiv w:val="1"/>
      <w:marLeft w:val="0"/>
      <w:marRight w:val="0"/>
      <w:marTop w:val="0"/>
      <w:marBottom w:val="0"/>
      <w:divBdr>
        <w:top w:val="none" w:sz="0" w:space="0" w:color="auto"/>
        <w:left w:val="none" w:sz="0" w:space="0" w:color="auto"/>
        <w:bottom w:val="none" w:sz="0" w:space="0" w:color="auto"/>
        <w:right w:val="none" w:sz="0" w:space="0" w:color="auto"/>
      </w:divBdr>
    </w:div>
    <w:div w:id="671876605">
      <w:bodyDiv w:val="1"/>
      <w:marLeft w:val="0"/>
      <w:marRight w:val="0"/>
      <w:marTop w:val="0"/>
      <w:marBottom w:val="0"/>
      <w:divBdr>
        <w:top w:val="none" w:sz="0" w:space="0" w:color="auto"/>
        <w:left w:val="none" w:sz="0" w:space="0" w:color="auto"/>
        <w:bottom w:val="none" w:sz="0" w:space="0" w:color="auto"/>
        <w:right w:val="none" w:sz="0" w:space="0" w:color="auto"/>
      </w:divBdr>
    </w:div>
    <w:div w:id="673335368">
      <w:bodyDiv w:val="1"/>
      <w:marLeft w:val="0"/>
      <w:marRight w:val="0"/>
      <w:marTop w:val="0"/>
      <w:marBottom w:val="0"/>
      <w:divBdr>
        <w:top w:val="none" w:sz="0" w:space="0" w:color="auto"/>
        <w:left w:val="none" w:sz="0" w:space="0" w:color="auto"/>
        <w:bottom w:val="none" w:sz="0" w:space="0" w:color="auto"/>
        <w:right w:val="none" w:sz="0" w:space="0" w:color="auto"/>
      </w:divBdr>
    </w:div>
    <w:div w:id="675307884">
      <w:bodyDiv w:val="1"/>
      <w:marLeft w:val="0"/>
      <w:marRight w:val="0"/>
      <w:marTop w:val="0"/>
      <w:marBottom w:val="0"/>
      <w:divBdr>
        <w:top w:val="none" w:sz="0" w:space="0" w:color="auto"/>
        <w:left w:val="none" w:sz="0" w:space="0" w:color="auto"/>
        <w:bottom w:val="none" w:sz="0" w:space="0" w:color="auto"/>
        <w:right w:val="none" w:sz="0" w:space="0" w:color="auto"/>
      </w:divBdr>
    </w:div>
    <w:div w:id="675814191">
      <w:bodyDiv w:val="1"/>
      <w:marLeft w:val="0"/>
      <w:marRight w:val="0"/>
      <w:marTop w:val="0"/>
      <w:marBottom w:val="0"/>
      <w:divBdr>
        <w:top w:val="none" w:sz="0" w:space="0" w:color="auto"/>
        <w:left w:val="none" w:sz="0" w:space="0" w:color="auto"/>
        <w:bottom w:val="none" w:sz="0" w:space="0" w:color="auto"/>
        <w:right w:val="none" w:sz="0" w:space="0" w:color="auto"/>
      </w:divBdr>
    </w:div>
    <w:div w:id="679090409">
      <w:bodyDiv w:val="1"/>
      <w:marLeft w:val="0"/>
      <w:marRight w:val="0"/>
      <w:marTop w:val="0"/>
      <w:marBottom w:val="0"/>
      <w:divBdr>
        <w:top w:val="none" w:sz="0" w:space="0" w:color="auto"/>
        <w:left w:val="none" w:sz="0" w:space="0" w:color="auto"/>
        <w:bottom w:val="none" w:sz="0" w:space="0" w:color="auto"/>
        <w:right w:val="none" w:sz="0" w:space="0" w:color="auto"/>
      </w:divBdr>
    </w:div>
    <w:div w:id="683943635">
      <w:bodyDiv w:val="1"/>
      <w:marLeft w:val="0"/>
      <w:marRight w:val="0"/>
      <w:marTop w:val="0"/>
      <w:marBottom w:val="0"/>
      <w:divBdr>
        <w:top w:val="none" w:sz="0" w:space="0" w:color="auto"/>
        <w:left w:val="none" w:sz="0" w:space="0" w:color="auto"/>
        <w:bottom w:val="none" w:sz="0" w:space="0" w:color="auto"/>
        <w:right w:val="none" w:sz="0" w:space="0" w:color="auto"/>
      </w:divBdr>
    </w:div>
    <w:div w:id="690179556">
      <w:bodyDiv w:val="1"/>
      <w:marLeft w:val="0"/>
      <w:marRight w:val="0"/>
      <w:marTop w:val="0"/>
      <w:marBottom w:val="0"/>
      <w:divBdr>
        <w:top w:val="none" w:sz="0" w:space="0" w:color="auto"/>
        <w:left w:val="none" w:sz="0" w:space="0" w:color="auto"/>
        <w:bottom w:val="none" w:sz="0" w:space="0" w:color="auto"/>
        <w:right w:val="none" w:sz="0" w:space="0" w:color="auto"/>
      </w:divBdr>
    </w:div>
    <w:div w:id="690450017">
      <w:bodyDiv w:val="1"/>
      <w:marLeft w:val="0"/>
      <w:marRight w:val="0"/>
      <w:marTop w:val="0"/>
      <w:marBottom w:val="0"/>
      <w:divBdr>
        <w:top w:val="none" w:sz="0" w:space="0" w:color="auto"/>
        <w:left w:val="none" w:sz="0" w:space="0" w:color="auto"/>
        <w:bottom w:val="none" w:sz="0" w:space="0" w:color="auto"/>
        <w:right w:val="none" w:sz="0" w:space="0" w:color="auto"/>
      </w:divBdr>
    </w:div>
    <w:div w:id="690884214">
      <w:bodyDiv w:val="1"/>
      <w:marLeft w:val="0"/>
      <w:marRight w:val="0"/>
      <w:marTop w:val="0"/>
      <w:marBottom w:val="0"/>
      <w:divBdr>
        <w:top w:val="none" w:sz="0" w:space="0" w:color="auto"/>
        <w:left w:val="none" w:sz="0" w:space="0" w:color="auto"/>
        <w:bottom w:val="none" w:sz="0" w:space="0" w:color="auto"/>
        <w:right w:val="none" w:sz="0" w:space="0" w:color="auto"/>
      </w:divBdr>
    </w:div>
    <w:div w:id="693917600">
      <w:bodyDiv w:val="1"/>
      <w:marLeft w:val="0"/>
      <w:marRight w:val="0"/>
      <w:marTop w:val="0"/>
      <w:marBottom w:val="0"/>
      <w:divBdr>
        <w:top w:val="none" w:sz="0" w:space="0" w:color="auto"/>
        <w:left w:val="none" w:sz="0" w:space="0" w:color="auto"/>
        <w:bottom w:val="none" w:sz="0" w:space="0" w:color="auto"/>
        <w:right w:val="none" w:sz="0" w:space="0" w:color="auto"/>
      </w:divBdr>
    </w:div>
    <w:div w:id="702512892">
      <w:bodyDiv w:val="1"/>
      <w:marLeft w:val="0"/>
      <w:marRight w:val="0"/>
      <w:marTop w:val="0"/>
      <w:marBottom w:val="0"/>
      <w:divBdr>
        <w:top w:val="none" w:sz="0" w:space="0" w:color="auto"/>
        <w:left w:val="none" w:sz="0" w:space="0" w:color="auto"/>
        <w:bottom w:val="none" w:sz="0" w:space="0" w:color="auto"/>
        <w:right w:val="none" w:sz="0" w:space="0" w:color="auto"/>
      </w:divBdr>
    </w:div>
    <w:div w:id="704524840">
      <w:bodyDiv w:val="1"/>
      <w:marLeft w:val="0"/>
      <w:marRight w:val="0"/>
      <w:marTop w:val="0"/>
      <w:marBottom w:val="0"/>
      <w:divBdr>
        <w:top w:val="none" w:sz="0" w:space="0" w:color="auto"/>
        <w:left w:val="none" w:sz="0" w:space="0" w:color="auto"/>
        <w:bottom w:val="none" w:sz="0" w:space="0" w:color="auto"/>
        <w:right w:val="none" w:sz="0" w:space="0" w:color="auto"/>
      </w:divBdr>
    </w:div>
    <w:div w:id="704674614">
      <w:bodyDiv w:val="1"/>
      <w:marLeft w:val="0"/>
      <w:marRight w:val="0"/>
      <w:marTop w:val="0"/>
      <w:marBottom w:val="0"/>
      <w:divBdr>
        <w:top w:val="none" w:sz="0" w:space="0" w:color="auto"/>
        <w:left w:val="none" w:sz="0" w:space="0" w:color="auto"/>
        <w:bottom w:val="none" w:sz="0" w:space="0" w:color="auto"/>
        <w:right w:val="none" w:sz="0" w:space="0" w:color="auto"/>
      </w:divBdr>
    </w:div>
    <w:div w:id="709576714">
      <w:bodyDiv w:val="1"/>
      <w:marLeft w:val="0"/>
      <w:marRight w:val="0"/>
      <w:marTop w:val="0"/>
      <w:marBottom w:val="0"/>
      <w:divBdr>
        <w:top w:val="none" w:sz="0" w:space="0" w:color="auto"/>
        <w:left w:val="none" w:sz="0" w:space="0" w:color="auto"/>
        <w:bottom w:val="none" w:sz="0" w:space="0" w:color="auto"/>
        <w:right w:val="none" w:sz="0" w:space="0" w:color="auto"/>
      </w:divBdr>
    </w:div>
    <w:div w:id="717632549">
      <w:bodyDiv w:val="1"/>
      <w:marLeft w:val="0"/>
      <w:marRight w:val="0"/>
      <w:marTop w:val="0"/>
      <w:marBottom w:val="0"/>
      <w:divBdr>
        <w:top w:val="none" w:sz="0" w:space="0" w:color="auto"/>
        <w:left w:val="none" w:sz="0" w:space="0" w:color="auto"/>
        <w:bottom w:val="none" w:sz="0" w:space="0" w:color="auto"/>
        <w:right w:val="none" w:sz="0" w:space="0" w:color="auto"/>
      </w:divBdr>
    </w:div>
    <w:div w:id="734283710">
      <w:bodyDiv w:val="1"/>
      <w:marLeft w:val="0"/>
      <w:marRight w:val="0"/>
      <w:marTop w:val="0"/>
      <w:marBottom w:val="0"/>
      <w:divBdr>
        <w:top w:val="none" w:sz="0" w:space="0" w:color="auto"/>
        <w:left w:val="none" w:sz="0" w:space="0" w:color="auto"/>
        <w:bottom w:val="none" w:sz="0" w:space="0" w:color="auto"/>
        <w:right w:val="none" w:sz="0" w:space="0" w:color="auto"/>
      </w:divBdr>
    </w:div>
    <w:div w:id="734862137">
      <w:bodyDiv w:val="1"/>
      <w:marLeft w:val="0"/>
      <w:marRight w:val="0"/>
      <w:marTop w:val="0"/>
      <w:marBottom w:val="0"/>
      <w:divBdr>
        <w:top w:val="none" w:sz="0" w:space="0" w:color="auto"/>
        <w:left w:val="none" w:sz="0" w:space="0" w:color="auto"/>
        <w:bottom w:val="none" w:sz="0" w:space="0" w:color="auto"/>
        <w:right w:val="none" w:sz="0" w:space="0" w:color="auto"/>
      </w:divBdr>
    </w:div>
    <w:div w:id="735712174">
      <w:bodyDiv w:val="1"/>
      <w:marLeft w:val="0"/>
      <w:marRight w:val="0"/>
      <w:marTop w:val="0"/>
      <w:marBottom w:val="0"/>
      <w:divBdr>
        <w:top w:val="none" w:sz="0" w:space="0" w:color="auto"/>
        <w:left w:val="none" w:sz="0" w:space="0" w:color="auto"/>
        <w:bottom w:val="none" w:sz="0" w:space="0" w:color="auto"/>
        <w:right w:val="none" w:sz="0" w:space="0" w:color="auto"/>
      </w:divBdr>
    </w:div>
    <w:div w:id="743528841">
      <w:bodyDiv w:val="1"/>
      <w:marLeft w:val="0"/>
      <w:marRight w:val="0"/>
      <w:marTop w:val="0"/>
      <w:marBottom w:val="0"/>
      <w:divBdr>
        <w:top w:val="none" w:sz="0" w:space="0" w:color="auto"/>
        <w:left w:val="none" w:sz="0" w:space="0" w:color="auto"/>
        <w:bottom w:val="none" w:sz="0" w:space="0" w:color="auto"/>
        <w:right w:val="none" w:sz="0" w:space="0" w:color="auto"/>
      </w:divBdr>
    </w:div>
    <w:div w:id="747112598">
      <w:bodyDiv w:val="1"/>
      <w:marLeft w:val="0"/>
      <w:marRight w:val="0"/>
      <w:marTop w:val="0"/>
      <w:marBottom w:val="0"/>
      <w:divBdr>
        <w:top w:val="none" w:sz="0" w:space="0" w:color="auto"/>
        <w:left w:val="none" w:sz="0" w:space="0" w:color="auto"/>
        <w:bottom w:val="none" w:sz="0" w:space="0" w:color="auto"/>
        <w:right w:val="none" w:sz="0" w:space="0" w:color="auto"/>
      </w:divBdr>
    </w:div>
    <w:div w:id="747846083">
      <w:bodyDiv w:val="1"/>
      <w:marLeft w:val="0"/>
      <w:marRight w:val="0"/>
      <w:marTop w:val="0"/>
      <w:marBottom w:val="0"/>
      <w:divBdr>
        <w:top w:val="none" w:sz="0" w:space="0" w:color="auto"/>
        <w:left w:val="none" w:sz="0" w:space="0" w:color="auto"/>
        <w:bottom w:val="none" w:sz="0" w:space="0" w:color="auto"/>
        <w:right w:val="none" w:sz="0" w:space="0" w:color="auto"/>
      </w:divBdr>
    </w:div>
    <w:div w:id="748773902">
      <w:bodyDiv w:val="1"/>
      <w:marLeft w:val="0"/>
      <w:marRight w:val="0"/>
      <w:marTop w:val="0"/>
      <w:marBottom w:val="0"/>
      <w:divBdr>
        <w:top w:val="none" w:sz="0" w:space="0" w:color="auto"/>
        <w:left w:val="none" w:sz="0" w:space="0" w:color="auto"/>
        <w:bottom w:val="none" w:sz="0" w:space="0" w:color="auto"/>
        <w:right w:val="none" w:sz="0" w:space="0" w:color="auto"/>
      </w:divBdr>
    </w:div>
    <w:div w:id="751971252">
      <w:bodyDiv w:val="1"/>
      <w:marLeft w:val="0"/>
      <w:marRight w:val="0"/>
      <w:marTop w:val="0"/>
      <w:marBottom w:val="0"/>
      <w:divBdr>
        <w:top w:val="none" w:sz="0" w:space="0" w:color="auto"/>
        <w:left w:val="none" w:sz="0" w:space="0" w:color="auto"/>
        <w:bottom w:val="none" w:sz="0" w:space="0" w:color="auto"/>
        <w:right w:val="none" w:sz="0" w:space="0" w:color="auto"/>
      </w:divBdr>
    </w:div>
    <w:div w:id="757558815">
      <w:bodyDiv w:val="1"/>
      <w:marLeft w:val="0"/>
      <w:marRight w:val="0"/>
      <w:marTop w:val="0"/>
      <w:marBottom w:val="0"/>
      <w:divBdr>
        <w:top w:val="none" w:sz="0" w:space="0" w:color="auto"/>
        <w:left w:val="none" w:sz="0" w:space="0" w:color="auto"/>
        <w:bottom w:val="none" w:sz="0" w:space="0" w:color="auto"/>
        <w:right w:val="none" w:sz="0" w:space="0" w:color="auto"/>
      </w:divBdr>
    </w:div>
    <w:div w:id="760184208">
      <w:bodyDiv w:val="1"/>
      <w:marLeft w:val="0"/>
      <w:marRight w:val="0"/>
      <w:marTop w:val="0"/>
      <w:marBottom w:val="0"/>
      <w:divBdr>
        <w:top w:val="none" w:sz="0" w:space="0" w:color="auto"/>
        <w:left w:val="none" w:sz="0" w:space="0" w:color="auto"/>
        <w:bottom w:val="none" w:sz="0" w:space="0" w:color="auto"/>
        <w:right w:val="none" w:sz="0" w:space="0" w:color="auto"/>
      </w:divBdr>
    </w:div>
    <w:div w:id="761603768">
      <w:bodyDiv w:val="1"/>
      <w:marLeft w:val="0"/>
      <w:marRight w:val="0"/>
      <w:marTop w:val="0"/>
      <w:marBottom w:val="0"/>
      <w:divBdr>
        <w:top w:val="none" w:sz="0" w:space="0" w:color="auto"/>
        <w:left w:val="none" w:sz="0" w:space="0" w:color="auto"/>
        <w:bottom w:val="none" w:sz="0" w:space="0" w:color="auto"/>
        <w:right w:val="none" w:sz="0" w:space="0" w:color="auto"/>
      </w:divBdr>
    </w:div>
    <w:div w:id="767115837">
      <w:bodyDiv w:val="1"/>
      <w:marLeft w:val="0"/>
      <w:marRight w:val="0"/>
      <w:marTop w:val="0"/>
      <w:marBottom w:val="0"/>
      <w:divBdr>
        <w:top w:val="none" w:sz="0" w:space="0" w:color="auto"/>
        <w:left w:val="none" w:sz="0" w:space="0" w:color="auto"/>
        <w:bottom w:val="none" w:sz="0" w:space="0" w:color="auto"/>
        <w:right w:val="none" w:sz="0" w:space="0" w:color="auto"/>
      </w:divBdr>
    </w:div>
    <w:div w:id="772089386">
      <w:bodyDiv w:val="1"/>
      <w:marLeft w:val="0"/>
      <w:marRight w:val="0"/>
      <w:marTop w:val="0"/>
      <w:marBottom w:val="0"/>
      <w:divBdr>
        <w:top w:val="none" w:sz="0" w:space="0" w:color="auto"/>
        <w:left w:val="none" w:sz="0" w:space="0" w:color="auto"/>
        <w:bottom w:val="none" w:sz="0" w:space="0" w:color="auto"/>
        <w:right w:val="none" w:sz="0" w:space="0" w:color="auto"/>
      </w:divBdr>
    </w:div>
    <w:div w:id="772282652">
      <w:bodyDiv w:val="1"/>
      <w:marLeft w:val="0"/>
      <w:marRight w:val="0"/>
      <w:marTop w:val="0"/>
      <w:marBottom w:val="0"/>
      <w:divBdr>
        <w:top w:val="none" w:sz="0" w:space="0" w:color="auto"/>
        <w:left w:val="none" w:sz="0" w:space="0" w:color="auto"/>
        <w:bottom w:val="none" w:sz="0" w:space="0" w:color="auto"/>
        <w:right w:val="none" w:sz="0" w:space="0" w:color="auto"/>
      </w:divBdr>
    </w:div>
    <w:div w:id="774905327">
      <w:bodyDiv w:val="1"/>
      <w:marLeft w:val="0"/>
      <w:marRight w:val="0"/>
      <w:marTop w:val="0"/>
      <w:marBottom w:val="0"/>
      <w:divBdr>
        <w:top w:val="none" w:sz="0" w:space="0" w:color="auto"/>
        <w:left w:val="none" w:sz="0" w:space="0" w:color="auto"/>
        <w:bottom w:val="none" w:sz="0" w:space="0" w:color="auto"/>
        <w:right w:val="none" w:sz="0" w:space="0" w:color="auto"/>
      </w:divBdr>
    </w:div>
    <w:div w:id="783115959">
      <w:bodyDiv w:val="1"/>
      <w:marLeft w:val="0"/>
      <w:marRight w:val="0"/>
      <w:marTop w:val="0"/>
      <w:marBottom w:val="0"/>
      <w:divBdr>
        <w:top w:val="none" w:sz="0" w:space="0" w:color="auto"/>
        <w:left w:val="none" w:sz="0" w:space="0" w:color="auto"/>
        <w:bottom w:val="none" w:sz="0" w:space="0" w:color="auto"/>
        <w:right w:val="none" w:sz="0" w:space="0" w:color="auto"/>
      </w:divBdr>
    </w:div>
    <w:div w:id="786504443">
      <w:bodyDiv w:val="1"/>
      <w:marLeft w:val="0"/>
      <w:marRight w:val="0"/>
      <w:marTop w:val="0"/>
      <w:marBottom w:val="0"/>
      <w:divBdr>
        <w:top w:val="none" w:sz="0" w:space="0" w:color="auto"/>
        <w:left w:val="none" w:sz="0" w:space="0" w:color="auto"/>
        <w:bottom w:val="none" w:sz="0" w:space="0" w:color="auto"/>
        <w:right w:val="none" w:sz="0" w:space="0" w:color="auto"/>
      </w:divBdr>
    </w:div>
    <w:div w:id="787510730">
      <w:bodyDiv w:val="1"/>
      <w:marLeft w:val="0"/>
      <w:marRight w:val="0"/>
      <w:marTop w:val="0"/>
      <w:marBottom w:val="0"/>
      <w:divBdr>
        <w:top w:val="none" w:sz="0" w:space="0" w:color="auto"/>
        <w:left w:val="none" w:sz="0" w:space="0" w:color="auto"/>
        <w:bottom w:val="none" w:sz="0" w:space="0" w:color="auto"/>
        <w:right w:val="none" w:sz="0" w:space="0" w:color="auto"/>
      </w:divBdr>
    </w:div>
    <w:div w:id="789130802">
      <w:bodyDiv w:val="1"/>
      <w:marLeft w:val="0"/>
      <w:marRight w:val="0"/>
      <w:marTop w:val="0"/>
      <w:marBottom w:val="0"/>
      <w:divBdr>
        <w:top w:val="none" w:sz="0" w:space="0" w:color="auto"/>
        <w:left w:val="none" w:sz="0" w:space="0" w:color="auto"/>
        <w:bottom w:val="none" w:sz="0" w:space="0" w:color="auto"/>
        <w:right w:val="none" w:sz="0" w:space="0" w:color="auto"/>
      </w:divBdr>
    </w:div>
    <w:div w:id="789399470">
      <w:bodyDiv w:val="1"/>
      <w:marLeft w:val="0"/>
      <w:marRight w:val="0"/>
      <w:marTop w:val="0"/>
      <w:marBottom w:val="0"/>
      <w:divBdr>
        <w:top w:val="none" w:sz="0" w:space="0" w:color="auto"/>
        <w:left w:val="none" w:sz="0" w:space="0" w:color="auto"/>
        <w:bottom w:val="none" w:sz="0" w:space="0" w:color="auto"/>
        <w:right w:val="none" w:sz="0" w:space="0" w:color="auto"/>
      </w:divBdr>
    </w:div>
    <w:div w:id="791169914">
      <w:bodyDiv w:val="1"/>
      <w:marLeft w:val="0"/>
      <w:marRight w:val="0"/>
      <w:marTop w:val="0"/>
      <w:marBottom w:val="0"/>
      <w:divBdr>
        <w:top w:val="none" w:sz="0" w:space="0" w:color="auto"/>
        <w:left w:val="none" w:sz="0" w:space="0" w:color="auto"/>
        <w:bottom w:val="none" w:sz="0" w:space="0" w:color="auto"/>
        <w:right w:val="none" w:sz="0" w:space="0" w:color="auto"/>
      </w:divBdr>
    </w:div>
    <w:div w:id="799960764">
      <w:bodyDiv w:val="1"/>
      <w:marLeft w:val="0"/>
      <w:marRight w:val="0"/>
      <w:marTop w:val="0"/>
      <w:marBottom w:val="0"/>
      <w:divBdr>
        <w:top w:val="none" w:sz="0" w:space="0" w:color="auto"/>
        <w:left w:val="none" w:sz="0" w:space="0" w:color="auto"/>
        <w:bottom w:val="none" w:sz="0" w:space="0" w:color="auto"/>
        <w:right w:val="none" w:sz="0" w:space="0" w:color="auto"/>
      </w:divBdr>
    </w:div>
    <w:div w:id="803348125">
      <w:bodyDiv w:val="1"/>
      <w:marLeft w:val="0"/>
      <w:marRight w:val="0"/>
      <w:marTop w:val="0"/>
      <w:marBottom w:val="0"/>
      <w:divBdr>
        <w:top w:val="none" w:sz="0" w:space="0" w:color="auto"/>
        <w:left w:val="none" w:sz="0" w:space="0" w:color="auto"/>
        <w:bottom w:val="none" w:sz="0" w:space="0" w:color="auto"/>
        <w:right w:val="none" w:sz="0" w:space="0" w:color="auto"/>
      </w:divBdr>
    </w:div>
    <w:div w:id="811215209">
      <w:bodyDiv w:val="1"/>
      <w:marLeft w:val="0"/>
      <w:marRight w:val="0"/>
      <w:marTop w:val="0"/>
      <w:marBottom w:val="0"/>
      <w:divBdr>
        <w:top w:val="none" w:sz="0" w:space="0" w:color="auto"/>
        <w:left w:val="none" w:sz="0" w:space="0" w:color="auto"/>
        <w:bottom w:val="none" w:sz="0" w:space="0" w:color="auto"/>
        <w:right w:val="none" w:sz="0" w:space="0" w:color="auto"/>
      </w:divBdr>
    </w:div>
    <w:div w:id="816075095">
      <w:bodyDiv w:val="1"/>
      <w:marLeft w:val="0"/>
      <w:marRight w:val="0"/>
      <w:marTop w:val="0"/>
      <w:marBottom w:val="0"/>
      <w:divBdr>
        <w:top w:val="none" w:sz="0" w:space="0" w:color="auto"/>
        <w:left w:val="none" w:sz="0" w:space="0" w:color="auto"/>
        <w:bottom w:val="none" w:sz="0" w:space="0" w:color="auto"/>
        <w:right w:val="none" w:sz="0" w:space="0" w:color="auto"/>
      </w:divBdr>
    </w:div>
    <w:div w:id="816990224">
      <w:bodyDiv w:val="1"/>
      <w:marLeft w:val="0"/>
      <w:marRight w:val="0"/>
      <w:marTop w:val="0"/>
      <w:marBottom w:val="0"/>
      <w:divBdr>
        <w:top w:val="none" w:sz="0" w:space="0" w:color="auto"/>
        <w:left w:val="none" w:sz="0" w:space="0" w:color="auto"/>
        <w:bottom w:val="none" w:sz="0" w:space="0" w:color="auto"/>
        <w:right w:val="none" w:sz="0" w:space="0" w:color="auto"/>
      </w:divBdr>
    </w:div>
    <w:div w:id="821853889">
      <w:bodyDiv w:val="1"/>
      <w:marLeft w:val="0"/>
      <w:marRight w:val="0"/>
      <w:marTop w:val="0"/>
      <w:marBottom w:val="0"/>
      <w:divBdr>
        <w:top w:val="none" w:sz="0" w:space="0" w:color="auto"/>
        <w:left w:val="none" w:sz="0" w:space="0" w:color="auto"/>
        <w:bottom w:val="none" w:sz="0" w:space="0" w:color="auto"/>
        <w:right w:val="none" w:sz="0" w:space="0" w:color="auto"/>
      </w:divBdr>
    </w:div>
    <w:div w:id="821971569">
      <w:bodyDiv w:val="1"/>
      <w:marLeft w:val="0"/>
      <w:marRight w:val="0"/>
      <w:marTop w:val="0"/>
      <w:marBottom w:val="0"/>
      <w:divBdr>
        <w:top w:val="none" w:sz="0" w:space="0" w:color="auto"/>
        <w:left w:val="none" w:sz="0" w:space="0" w:color="auto"/>
        <w:bottom w:val="none" w:sz="0" w:space="0" w:color="auto"/>
        <w:right w:val="none" w:sz="0" w:space="0" w:color="auto"/>
      </w:divBdr>
    </w:div>
    <w:div w:id="823623226">
      <w:bodyDiv w:val="1"/>
      <w:marLeft w:val="0"/>
      <w:marRight w:val="0"/>
      <w:marTop w:val="0"/>
      <w:marBottom w:val="0"/>
      <w:divBdr>
        <w:top w:val="none" w:sz="0" w:space="0" w:color="auto"/>
        <w:left w:val="none" w:sz="0" w:space="0" w:color="auto"/>
        <w:bottom w:val="none" w:sz="0" w:space="0" w:color="auto"/>
        <w:right w:val="none" w:sz="0" w:space="0" w:color="auto"/>
      </w:divBdr>
    </w:div>
    <w:div w:id="823818458">
      <w:bodyDiv w:val="1"/>
      <w:marLeft w:val="0"/>
      <w:marRight w:val="0"/>
      <w:marTop w:val="0"/>
      <w:marBottom w:val="0"/>
      <w:divBdr>
        <w:top w:val="none" w:sz="0" w:space="0" w:color="auto"/>
        <w:left w:val="none" w:sz="0" w:space="0" w:color="auto"/>
        <w:bottom w:val="none" w:sz="0" w:space="0" w:color="auto"/>
        <w:right w:val="none" w:sz="0" w:space="0" w:color="auto"/>
      </w:divBdr>
    </w:div>
    <w:div w:id="828710956">
      <w:bodyDiv w:val="1"/>
      <w:marLeft w:val="0"/>
      <w:marRight w:val="0"/>
      <w:marTop w:val="0"/>
      <w:marBottom w:val="0"/>
      <w:divBdr>
        <w:top w:val="none" w:sz="0" w:space="0" w:color="auto"/>
        <w:left w:val="none" w:sz="0" w:space="0" w:color="auto"/>
        <w:bottom w:val="none" w:sz="0" w:space="0" w:color="auto"/>
        <w:right w:val="none" w:sz="0" w:space="0" w:color="auto"/>
      </w:divBdr>
    </w:div>
    <w:div w:id="830291449">
      <w:bodyDiv w:val="1"/>
      <w:marLeft w:val="0"/>
      <w:marRight w:val="0"/>
      <w:marTop w:val="0"/>
      <w:marBottom w:val="0"/>
      <w:divBdr>
        <w:top w:val="none" w:sz="0" w:space="0" w:color="auto"/>
        <w:left w:val="none" w:sz="0" w:space="0" w:color="auto"/>
        <w:bottom w:val="none" w:sz="0" w:space="0" w:color="auto"/>
        <w:right w:val="none" w:sz="0" w:space="0" w:color="auto"/>
      </w:divBdr>
    </w:div>
    <w:div w:id="836531337">
      <w:bodyDiv w:val="1"/>
      <w:marLeft w:val="0"/>
      <w:marRight w:val="0"/>
      <w:marTop w:val="0"/>
      <w:marBottom w:val="0"/>
      <w:divBdr>
        <w:top w:val="none" w:sz="0" w:space="0" w:color="auto"/>
        <w:left w:val="none" w:sz="0" w:space="0" w:color="auto"/>
        <w:bottom w:val="none" w:sz="0" w:space="0" w:color="auto"/>
        <w:right w:val="none" w:sz="0" w:space="0" w:color="auto"/>
      </w:divBdr>
    </w:div>
    <w:div w:id="840006826">
      <w:bodyDiv w:val="1"/>
      <w:marLeft w:val="0"/>
      <w:marRight w:val="0"/>
      <w:marTop w:val="0"/>
      <w:marBottom w:val="0"/>
      <w:divBdr>
        <w:top w:val="none" w:sz="0" w:space="0" w:color="auto"/>
        <w:left w:val="none" w:sz="0" w:space="0" w:color="auto"/>
        <w:bottom w:val="none" w:sz="0" w:space="0" w:color="auto"/>
        <w:right w:val="none" w:sz="0" w:space="0" w:color="auto"/>
      </w:divBdr>
    </w:div>
    <w:div w:id="840703808">
      <w:bodyDiv w:val="1"/>
      <w:marLeft w:val="0"/>
      <w:marRight w:val="0"/>
      <w:marTop w:val="0"/>
      <w:marBottom w:val="0"/>
      <w:divBdr>
        <w:top w:val="none" w:sz="0" w:space="0" w:color="auto"/>
        <w:left w:val="none" w:sz="0" w:space="0" w:color="auto"/>
        <w:bottom w:val="none" w:sz="0" w:space="0" w:color="auto"/>
        <w:right w:val="none" w:sz="0" w:space="0" w:color="auto"/>
      </w:divBdr>
    </w:div>
    <w:div w:id="844245565">
      <w:bodyDiv w:val="1"/>
      <w:marLeft w:val="0"/>
      <w:marRight w:val="0"/>
      <w:marTop w:val="0"/>
      <w:marBottom w:val="0"/>
      <w:divBdr>
        <w:top w:val="none" w:sz="0" w:space="0" w:color="auto"/>
        <w:left w:val="none" w:sz="0" w:space="0" w:color="auto"/>
        <w:bottom w:val="none" w:sz="0" w:space="0" w:color="auto"/>
        <w:right w:val="none" w:sz="0" w:space="0" w:color="auto"/>
      </w:divBdr>
    </w:div>
    <w:div w:id="850070509">
      <w:bodyDiv w:val="1"/>
      <w:marLeft w:val="0"/>
      <w:marRight w:val="0"/>
      <w:marTop w:val="0"/>
      <w:marBottom w:val="0"/>
      <w:divBdr>
        <w:top w:val="none" w:sz="0" w:space="0" w:color="auto"/>
        <w:left w:val="none" w:sz="0" w:space="0" w:color="auto"/>
        <w:bottom w:val="none" w:sz="0" w:space="0" w:color="auto"/>
        <w:right w:val="none" w:sz="0" w:space="0" w:color="auto"/>
      </w:divBdr>
    </w:div>
    <w:div w:id="854733701">
      <w:bodyDiv w:val="1"/>
      <w:marLeft w:val="0"/>
      <w:marRight w:val="0"/>
      <w:marTop w:val="0"/>
      <w:marBottom w:val="0"/>
      <w:divBdr>
        <w:top w:val="none" w:sz="0" w:space="0" w:color="auto"/>
        <w:left w:val="none" w:sz="0" w:space="0" w:color="auto"/>
        <w:bottom w:val="none" w:sz="0" w:space="0" w:color="auto"/>
        <w:right w:val="none" w:sz="0" w:space="0" w:color="auto"/>
      </w:divBdr>
    </w:div>
    <w:div w:id="855267956">
      <w:bodyDiv w:val="1"/>
      <w:marLeft w:val="0"/>
      <w:marRight w:val="0"/>
      <w:marTop w:val="0"/>
      <w:marBottom w:val="0"/>
      <w:divBdr>
        <w:top w:val="none" w:sz="0" w:space="0" w:color="auto"/>
        <w:left w:val="none" w:sz="0" w:space="0" w:color="auto"/>
        <w:bottom w:val="none" w:sz="0" w:space="0" w:color="auto"/>
        <w:right w:val="none" w:sz="0" w:space="0" w:color="auto"/>
      </w:divBdr>
    </w:div>
    <w:div w:id="855539681">
      <w:bodyDiv w:val="1"/>
      <w:marLeft w:val="0"/>
      <w:marRight w:val="0"/>
      <w:marTop w:val="0"/>
      <w:marBottom w:val="0"/>
      <w:divBdr>
        <w:top w:val="none" w:sz="0" w:space="0" w:color="auto"/>
        <w:left w:val="none" w:sz="0" w:space="0" w:color="auto"/>
        <w:bottom w:val="none" w:sz="0" w:space="0" w:color="auto"/>
        <w:right w:val="none" w:sz="0" w:space="0" w:color="auto"/>
      </w:divBdr>
    </w:div>
    <w:div w:id="857809854">
      <w:bodyDiv w:val="1"/>
      <w:marLeft w:val="0"/>
      <w:marRight w:val="0"/>
      <w:marTop w:val="0"/>
      <w:marBottom w:val="0"/>
      <w:divBdr>
        <w:top w:val="none" w:sz="0" w:space="0" w:color="auto"/>
        <w:left w:val="none" w:sz="0" w:space="0" w:color="auto"/>
        <w:bottom w:val="none" w:sz="0" w:space="0" w:color="auto"/>
        <w:right w:val="none" w:sz="0" w:space="0" w:color="auto"/>
      </w:divBdr>
    </w:div>
    <w:div w:id="857889230">
      <w:bodyDiv w:val="1"/>
      <w:marLeft w:val="0"/>
      <w:marRight w:val="0"/>
      <w:marTop w:val="0"/>
      <w:marBottom w:val="0"/>
      <w:divBdr>
        <w:top w:val="none" w:sz="0" w:space="0" w:color="auto"/>
        <w:left w:val="none" w:sz="0" w:space="0" w:color="auto"/>
        <w:bottom w:val="none" w:sz="0" w:space="0" w:color="auto"/>
        <w:right w:val="none" w:sz="0" w:space="0" w:color="auto"/>
      </w:divBdr>
    </w:div>
    <w:div w:id="865480630">
      <w:bodyDiv w:val="1"/>
      <w:marLeft w:val="0"/>
      <w:marRight w:val="0"/>
      <w:marTop w:val="0"/>
      <w:marBottom w:val="0"/>
      <w:divBdr>
        <w:top w:val="none" w:sz="0" w:space="0" w:color="auto"/>
        <w:left w:val="none" w:sz="0" w:space="0" w:color="auto"/>
        <w:bottom w:val="none" w:sz="0" w:space="0" w:color="auto"/>
        <w:right w:val="none" w:sz="0" w:space="0" w:color="auto"/>
      </w:divBdr>
    </w:div>
    <w:div w:id="866019574">
      <w:bodyDiv w:val="1"/>
      <w:marLeft w:val="0"/>
      <w:marRight w:val="0"/>
      <w:marTop w:val="0"/>
      <w:marBottom w:val="0"/>
      <w:divBdr>
        <w:top w:val="none" w:sz="0" w:space="0" w:color="auto"/>
        <w:left w:val="none" w:sz="0" w:space="0" w:color="auto"/>
        <w:bottom w:val="none" w:sz="0" w:space="0" w:color="auto"/>
        <w:right w:val="none" w:sz="0" w:space="0" w:color="auto"/>
      </w:divBdr>
    </w:div>
    <w:div w:id="867527303">
      <w:bodyDiv w:val="1"/>
      <w:marLeft w:val="0"/>
      <w:marRight w:val="0"/>
      <w:marTop w:val="0"/>
      <w:marBottom w:val="0"/>
      <w:divBdr>
        <w:top w:val="none" w:sz="0" w:space="0" w:color="auto"/>
        <w:left w:val="none" w:sz="0" w:space="0" w:color="auto"/>
        <w:bottom w:val="none" w:sz="0" w:space="0" w:color="auto"/>
        <w:right w:val="none" w:sz="0" w:space="0" w:color="auto"/>
      </w:divBdr>
    </w:div>
    <w:div w:id="867983908">
      <w:bodyDiv w:val="1"/>
      <w:marLeft w:val="0"/>
      <w:marRight w:val="0"/>
      <w:marTop w:val="0"/>
      <w:marBottom w:val="0"/>
      <w:divBdr>
        <w:top w:val="none" w:sz="0" w:space="0" w:color="auto"/>
        <w:left w:val="none" w:sz="0" w:space="0" w:color="auto"/>
        <w:bottom w:val="none" w:sz="0" w:space="0" w:color="auto"/>
        <w:right w:val="none" w:sz="0" w:space="0" w:color="auto"/>
      </w:divBdr>
      <w:divsChild>
        <w:div w:id="1555772601">
          <w:marLeft w:val="480"/>
          <w:marRight w:val="0"/>
          <w:marTop w:val="0"/>
          <w:marBottom w:val="0"/>
          <w:divBdr>
            <w:top w:val="none" w:sz="0" w:space="0" w:color="auto"/>
            <w:left w:val="none" w:sz="0" w:space="0" w:color="auto"/>
            <w:bottom w:val="none" w:sz="0" w:space="0" w:color="auto"/>
            <w:right w:val="none" w:sz="0" w:space="0" w:color="auto"/>
          </w:divBdr>
          <w:divsChild>
            <w:div w:id="136243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49504">
      <w:bodyDiv w:val="1"/>
      <w:marLeft w:val="0"/>
      <w:marRight w:val="0"/>
      <w:marTop w:val="0"/>
      <w:marBottom w:val="0"/>
      <w:divBdr>
        <w:top w:val="none" w:sz="0" w:space="0" w:color="auto"/>
        <w:left w:val="none" w:sz="0" w:space="0" w:color="auto"/>
        <w:bottom w:val="none" w:sz="0" w:space="0" w:color="auto"/>
        <w:right w:val="none" w:sz="0" w:space="0" w:color="auto"/>
      </w:divBdr>
    </w:div>
    <w:div w:id="874125786">
      <w:bodyDiv w:val="1"/>
      <w:marLeft w:val="0"/>
      <w:marRight w:val="0"/>
      <w:marTop w:val="0"/>
      <w:marBottom w:val="0"/>
      <w:divBdr>
        <w:top w:val="none" w:sz="0" w:space="0" w:color="auto"/>
        <w:left w:val="none" w:sz="0" w:space="0" w:color="auto"/>
        <w:bottom w:val="none" w:sz="0" w:space="0" w:color="auto"/>
        <w:right w:val="none" w:sz="0" w:space="0" w:color="auto"/>
      </w:divBdr>
    </w:div>
    <w:div w:id="880432944">
      <w:bodyDiv w:val="1"/>
      <w:marLeft w:val="0"/>
      <w:marRight w:val="0"/>
      <w:marTop w:val="0"/>
      <w:marBottom w:val="0"/>
      <w:divBdr>
        <w:top w:val="none" w:sz="0" w:space="0" w:color="auto"/>
        <w:left w:val="none" w:sz="0" w:space="0" w:color="auto"/>
        <w:bottom w:val="none" w:sz="0" w:space="0" w:color="auto"/>
        <w:right w:val="none" w:sz="0" w:space="0" w:color="auto"/>
      </w:divBdr>
    </w:div>
    <w:div w:id="881551541">
      <w:bodyDiv w:val="1"/>
      <w:marLeft w:val="0"/>
      <w:marRight w:val="0"/>
      <w:marTop w:val="0"/>
      <w:marBottom w:val="0"/>
      <w:divBdr>
        <w:top w:val="none" w:sz="0" w:space="0" w:color="auto"/>
        <w:left w:val="none" w:sz="0" w:space="0" w:color="auto"/>
        <w:bottom w:val="none" w:sz="0" w:space="0" w:color="auto"/>
        <w:right w:val="none" w:sz="0" w:space="0" w:color="auto"/>
      </w:divBdr>
    </w:div>
    <w:div w:id="883055368">
      <w:bodyDiv w:val="1"/>
      <w:marLeft w:val="0"/>
      <w:marRight w:val="0"/>
      <w:marTop w:val="0"/>
      <w:marBottom w:val="0"/>
      <w:divBdr>
        <w:top w:val="none" w:sz="0" w:space="0" w:color="auto"/>
        <w:left w:val="none" w:sz="0" w:space="0" w:color="auto"/>
        <w:bottom w:val="none" w:sz="0" w:space="0" w:color="auto"/>
        <w:right w:val="none" w:sz="0" w:space="0" w:color="auto"/>
      </w:divBdr>
    </w:div>
    <w:div w:id="884292469">
      <w:bodyDiv w:val="1"/>
      <w:marLeft w:val="0"/>
      <w:marRight w:val="0"/>
      <w:marTop w:val="0"/>
      <w:marBottom w:val="0"/>
      <w:divBdr>
        <w:top w:val="none" w:sz="0" w:space="0" w:color="auto"/>
        <w:left w:val="none" w:sz="0" w:space="0" w:color="auto"/>
        <w:bottom w:val="none" w:sz="0" w:space="0" w:color="auto"/>
        <w:right w:val="none" w:sz="0" w:space="0" w:color="auto"/>
      </w:divBdr>
    </w:div>
    <w:div w:id="892544100">
      <w:bodyDiv w:val="1"/>
      <w:marLeft w:val="0"/>
      <w:marRight w:val="0"/>
      <w:marTop w:val="0"/>
      <w:marBottom w:val="0"/>
      <w:divBdr>
        <w:top w:val="none" w:sz="0" w:space="0" w:color="auto"/>
        <w:left w:val="none" w:sz="0" w:space="0" w:color="auto"/>
        <w:bottom w:val="none" w:sz="0" w:space="0" w:color="auto"/>
        <w:right w:val="none" w:sz="0" w:space="0" w:color="auto"/>
      </w:divBdr>
    </w:div>
    <w:div w:id="904726082">
      <w:bodyDiv w:val="1"/>
      <w:marLeft w:val="0"/>
      <w:marRight w:val="0"/>
      <w:marTop w:val="0"/>
      <w:marBottom w:val="0"/>
      <w:divBdr>
        <w:top w:val="none" w:sz="0" w:space="0" w:color="auto"/>
        <w:left w:val="none" w:sz="0" w:space="0" w:color="auto"/>
        <w:bottom w:val="none" w:sz="0" w:space="0" w:color="auto"/>
        <w:right w:val="none" w:sz="0" w:space="0" w:color="auto"/>
      </w:divBdr>
    </w:div>
    <w:div w:id="909197346">
      <w:bodyDiv w:val="1"/>
      <w:marLeft w:val="0"/>
      <w:marRight w:val="0"/>
      <w:marTop w:val="0"/>
      <w:marBottom w:val="0"/>
      <w:divBdr>
        <w:top w:val="none" w:sz="0" w:space="0" w:color="auto"/>
        <w:left w:val="none" w:sz="0" w:space="0" w:color="auto"/>
        <w:bottom w:val="none" w:sz="0" w:space="0" w:color="auto"/>
        <w:right w:val="none" w:sz="0" w:space="0" w:color="auto"/>
      </w:divBdr>
    </w:div>
    <w:div w:id="909774172">
      <w:bodyDiv w:val="1"/>
      <w:marLeft w:val="0"/>
      <w:marRight w:val="0"/>
      <w:marTop w:val="0"/>
      <w:marBottom w:val="0"/>
      <w:divBdr>
        <w:top w:val="none" w:sz="0" w:space="0" w:color="auto"/>
        <w:left w:val="none" w:sz="0" w:space="0" w:color="auto"/>
        <w:bottom w:val="none" w:sz="0" w:space="0" w:color="auto"/>
        <w:right w:val="none" w:sz="0" w:space="0" w:color="auto"/>
      </w:divBdr>
    </w:div>
    <w:div w:id="912545588">
      <w:bodyDiv w:val="1"/>
      <w:marLeft w:val="0"/>
      <w:marRight w:val="0"/>
      <w:marTop w:val="0"/>
      <w:marBottom w:val="0"/>
      <w:divBdr>
        <w:top w:val="none" w:sz="0" w:space="0" w:color="auto"/>
        <w:left w:val="none" w:sz="0" w:space="0" w:color="auto"/>
        <w:bottom w:val="none" w:sz="0" w:space="0" w:color="auto"/>
        <w:right w:val="none" w:sz="0" w:space="0" w:color="auto"/>
      </w:divBdr>
    </w:div>
    <w:div w:id="914245643">
      <w:bodyDiv w:val="1"/>
      <w:marLeft w:val="0"/>
      <w:marRight w:val="0"/>
      <w:marTop w:val="0"/>
      <w:marBottom w:val="0"/>
      <w:divBdr>
        <w:top w:val="none" w:sz="0" w:space="0" w:color="auto"/>
        <w:left w:val="none" w:sz="0" w:space="0" w:color="auto"/>
        <w:bottom w:val="none" w:sz="0" w:space="0" w:color="auto"/>
        <w:right w:val="none" w:sz="0" w:space="0" w:color="auto"/>
      </w:divBdr>
    </w:div>
    <w:div w:id="914318785">
      <w:bodyDiv w:val="1"/>
      <w:marLeft w:val="0"/>
      <w:marRight w:val="0"/>
      <w:marTop w:val="0"/>
      <w:marBottom w:val="0"/>
      <w:divBdr>
        <w:top w:val="none" w:sz="0" w:space="0" w:color="auto"/>
        <w:left w:val="none" w:sz="0" w:space="0" w:color="auto"/>
        <w:bottom w:val="none" w:sz="0" w:space="0" w:color="auto"/>
        <w:right w:val="none" w:sz="0" w:space="0" w:color="auto"/>
      </w:divBdr>
    </w:div>
    <w:div w:id="917713841">
      <w:bodyDiv w:val="1"/>
      <w:marLeft w:val="0"/>
      <w:marRight w:val="0"/>
      <w:marTop w:val="0"/>
      <w:marBottom w:val="0"/>
      <w:divBdr>
        <w:top w:val="none" w:sz="0" w:space="0" w:color="auto"/>
        <w:left w:val="none" w:sz="0" w:space="0" w:color="auto"/>
        <w:bottom w:val="none" w:sz="0" w:space="0" w:color="auto"/>
        <w:right w:val="none" w:sz="0" w:space="0" w:color="auto"/>
      </w:divBdr>
    </w:div>
    <w:div w:id="919102717">
      <w:bodyDiv w:val="1"/>
      <w:marLeft w:val="0"/>
      <w:marRight w:val="0"/>
      <w:marTop w:val="0"/>
      <w:marBottom w:val="0"/>
      <w:divBdr>
        <w:top w:val="none" w:sz="0" w:space="0" w:color="auto"/>
        <w:left w:val="none" w:sz="0" w:space="0" w:color="auto"/>
        <w:bottom w:val="none" w:sz="0" w:space="0" w:color="auto"/>
        <w:right w:val="none" w:sz="0" w:space="0" w:color="auto"/>
      </w:divBdr>
    </w:div>
    <w:div w:id="930236883">
      <w:bodyDiv w:val="1"/>
      <w:marLeft w:val="0"/>
      <w:marRight w:val="0"/>
      <w:marTop w:val="0"/>
      <w:marBottom w:val="0"/>
      <w:divBdr>
        <w:top w:val="none" w:sz="0" w:space="0" w:color="auto"/>
        <w:left w:val="none" w:sz="0" w:space="0" w:color="auto"/>
        <w:bottom w:val="none" w:sz="0" w:space="0" w:color="auto"/>
        <w:right w:val="none" w:sz="0" w:space="0" w:color="auto"/>
      </w:divBdr>
    </w:div>
    <w:div w:id="931665079">
      <w:bodyDiv w:val="1"/>
      <w:marLeft w:val="0"/>
      <w:marRight w:val="0"/>
      <w:marTop w:val="0"/>
      <w:marBottom w:val="0"/>
      <w:divBdr>
        <w:top w:val="none" w:sz="0" w:space="0" w:color="auto"/>
        <w:left w:val="none" w:sz="0" w:space="0" w:color="auto"/>
        <w:bottom w:val="none" w:sz="0" w:space="0" w:color="auto"/>
        <w:right w:val="none" w:sz="0" w:space="0" w:color="auto"/>
      </w:divBdr>
    </w:div>
    <w:div w:id="938440811">
      <w:bodyDiv w:val="1"/>
      <w:marLeft w:val="0"/>
      <w:marRight w:val="0"/>
      <w:marTop w:val="0"/>
      <w:marBottom w:val="0"/>
      <w:divBdr>
        <w:top w:val="none" w:sz="0" w:space="0" w:color="auto"/>
        <w:left w:val="none" w:sz="0" w:space="0" w:color="auto"/>
        <w:bottom w:val="none" w:sz="0" w:space="0" w:color="auto"/>
        <w:right w:val="none" w:sz="0" w:space="0" w:color="auto"/>
      </w:divBdr>
    </w:div>
    <w:div w:id="939994712">
      <w:bodyDiv w:val="1"/>
      <w:marLeft w:val="0"/>
      <w:marRight w:val="0"/>
      <w:marTop w:val="0"/>
      <w:marBottom w:val="0"/>
      <w:divBdr>
        <w:top w:val="none" w:sz="0" w:space="0" w:color="auto"/>
        <w:left w:val="none" w:sz="0" w:space="0" w:color="auto"/>
        <w:bottom w:val="none" w:sz="0" w:space="0" w:color="auto"/>
        <w:right w:val="none" w:sz="0" w:space="0" w:color="auto"/>
      </w:divBdr>
    </w:div>
    <w:div w:id="944380971">
      <w:bodyDiv w:val="1"/>
      <w:marLeft w:val="0"/>
      <w:marRight w:val="0"/>
      <w:marTop w:val="0"/>
      <w:marBottom w:val="0"/>
      <w:divBdr>
        <w:top w:val="none" w:sz="0" w:space="0" w:color="auto"/>
        <w:left w:val="none" w:sz="0" w:space="0" w:color="auto"/>
        <w:bottom w:val="none" w:sz="0" w:space="0" w:color="auto"/>
        <w:right w:val="none" w:sz="0" w:space="0" w:color="auto"/>
      </w:divBdr>
    </w:div>
    <w:div w:id="948008337">
      <w:bodyDiv w:val="1"/>
      <w:marLeft w:val="0"/>
      <w:marRight w:val="0"/>
      <w:marTop w:val="0"/>
      <w:marBottom w:val="0"/>
      <w:divBdr>
        <w:top w:val="none" w:sz="0" w:space="0" w:color="auto"/>
        <w:left w:val="none" w:sz="0" w:space="0" w:color="auto"/>
        <w:bottom w:val="none" w:sz="0" w:space="0" w:color="auto"/>
        <w:right w:val="none" w:sz="0" w:space="0" w:color="auto"/>
      </w:divBdr>
    </w:div>
    <w:div w:id="949046650">
      <w:bodyDiv w:val="1"/>
      <w:marLeft w:val="0"/>
      <w:marRight w:val="0"/>
      <w:marTop w:val="0"/>
      <w:marBottom w:val="0"/>
      <w:divBdr>
        <w:top w:val="none" w:sz="0" w:space="0" w:color="auto"/>
        <w:left w:val="none" w:sz="0" w:space="0" w:color="auto"/>
        <w:bottom w:val="none" w:sz="0" w:space="0" w:color="auto"/>
        <w:right w:val="none" w:sz="0" w:space="0" w:color="auto"/>
      </w:divBdr>
    </w:div>
    <w:div w:id="952515657">
      <w:bodyDiv w:val="1"/>
      <w:marLeft w:val="0"/>
      <w:marRight w:val="0"/>
      <w:marTop w:val="0"/>
      <w:marBottom w:val="0"/>
      <w:divBdr>
        <w:top w:val="none" w:sz="0" w:space="0" w:color="auto"/>
        <w:left w:val="none" w:sz="0" w:space="0" w:color="auto"/>
        <w:bottom w:val="none" w:sz="0" w:space="0" w:color="auto"/>
        <w:right w:val="none" w:sz="0" w:space="0" w:color="auto"/>
      </w:divBdr>
    </w:div>
    <w:div w:id="953174301">
      <w:bodyDiv w:val="1"/>
      <w:marLeft w:val="0"/>
      <w:marRight w:val="0"/>
      <w:marTop w:val="0"/>
      <w:marBottom w:val="0"/>
      <w:divBdr>
        <w:top w:val="none" w:sz="0" w:space="0" w:color="auto"/>
        <w:left w:val="none" w:sz="0" w:space="0" w:color="auto"/>
        <w:bottom w:val="none" w:sz="0" w:space="0" w:color="auto"/>
        <w:right w:val="none" w:sz="0" w:space="0" w:color="auto"/>
      </w:divBdr>
    </w:div>
    <w:div w:id="957494176">
      <w:bodyDiv w:val="1"/>
      <w:marLeft w:val="0"/>
      <w:marRight w:val="0"/>
      <w:marTop w:val="0"/>
      <w:marBottom w:val="0"/>
      <w:divBdr>
        <w:top w:val="none" w:sz="0" w:space="0" w:color="auto"/>
        <w:left w:val="none" w:sz="0" w:space="0" w:color="auto"/>
        <w:bottom w:val="none" w:sz="0" w:space="0" w:color="auto"/>
        <w:right w:val="none" w:sz="0" w:space="0" w:color="auto"/>
      </w:divBdr>
    </w:div>
    <w:div w:id="962229182">
      <w:bodyDiv w:val="1"/>
      <w:marLeft w:val="0"/>
      <w:marRight w:val="0"/>
      <w:marTop w:val="0"/>
      <w:marBottom w:val="0"/>
      <w:divBdr>
        <w:top w:val="none" w:sz="0" w:space="0" w:color="auto"/>
        <w:left w:val="none" w:sz="0" w:space="0" w:color="auto"/>
        <w:bottom w:val="none" w:sz="0" w:space="0" w:color="auto"/>
        <w:right w:val="none" w:sz="0" w:space="0" w:color="auto"/>
      </w:divBdr>
    </w:div>
    <w:div w:id="963001886">
      <w:bodyDiv w:val="1"/>
      <w:marLeft w:val="0"/>
      <w:marRight w:val="0"/>
      <w:marTop w:val="0"/>
      <w:marBottom w:val="0"/>
      <w:divBdr>
        <w:top w:val="none" w:sz="0" w:space="0" w:color="auto"/>
        <w:left w:val="none" w:sz="0" w:space="0" w:color="auto"/>
        <w:bottom w:val="none" w:sz="0" w:space="0" w:color="auto"/>
        <w:right w:val="none" w:sz="0" w:space="0" w:color="auto"/>
      </w:divBdr>
    </w:div>
    <w:div w:id="963582026">
      <w:bodyDiv w:val="1"/>
      <w:marLeft w:val="0"/>
      <w:marRight w:val="0"/>
      <w:marTop w:val="0"/>
      <w:marBottom w:val="0"/>
      <w:divBdr>
        <w:top w:val="none" w:sz="0" w:space="0" w:color="auto"/>
        <w:left w:val="none" w:sz="0" w:space="0" w:color="auto"/>
        <w:bottom w:val="none" w:sz="0" w:space="0" w:color="auto"/>
        <w:right w:val="none" w:sz="0" w:space="0" w:color="auto"/>
      </w:divBdr>
    </w:div>
    <w:div w:id="969290161">
      <w:bodyDiv w:val="1"/>
      <w:marLeft w:val="0"/>
      <w:marRight w:val="0"/>
      <w:marTop w:val="0"/>
      <w:marBottom w:val="0"/>
      <w:divBdr>
        <w:top w:val="none" w:sz="0" w:space="0" w:color="auto"/>
        <w:left w:val="none" w:sz="0" w:space="0" w:color="auto"/>
        <w:bottom w:val="none" w:sz="0" w:space="0" w:color="auto"/>
        <w:right w:val="none" w:sz="0" w:space="0" w:color="auto"/>
      </w:divBdr>
    </w:div>
    <w:div w:id="975452966">
      <w:bodyDiv w:val="1"/>
      <w:marLeft w:val="0"/>
      <w:marRight w:val="0"/>
      <w:marTop w:val="0"/>
      <w:marBottom w:val="0"/>
      <w:divBdr>
        <w:top w:val="none" w:sz="0" w:space="0" w:color="auto"/>
        <w:left w:val="none" w:sz="0" w:space="0" w:color="auto"/>
        <w:bottom w:val="none" w:sz="0" w:space="0" w:color="auto"/>
        <w:right w:val="none" w:sz="0" w:space="0" w:color="auto"/>
      </w:divBdr>
    </w:div>
    <w:div w:id="975910334">
      <w:bodyDiv w:val="1"/>
      <w:marLeft w:val="0"/>
      <w:marRight w:val="0"/>
      <w:marTop w:val="0"/>
      <w:marBottom w:val="0"/>
      <w:divBdr>
        <w:top w:val="none" w:sz="0" w:space="0" w:color="auto"/>
        <w:left w:val="none" w:sz="0" w:space="0" w:color="auto"/>
        <w:bottom w:val="none" w:sz="0" w:space="0" w:color="auto"/>
        <w:right w:val="none" w:sz="0" w:space="0" w:color="auto"/>
      </w:divBdr>
    </w:div>
    <w:div w:id="982613109">
      <w:bodyDiv w:val="1"/>
      <w:marLeft w:val="0"/>
      <w:marRight w:val="0"/>
      <w:marTop w:val="0"/>
      <w:marBottom w:val="0"/>
      <w:divBdr>
        <w:top w:val="none" w:sz="0" w:space="0" w:color="auto"/>
        <w:left w:val="none" w:sz="0" w:space="0" w:color="auto"/>
        <w:bottom w:val="none" w:sz="0" w:space="0" w:color="auto"/>
        <w:right w:val="none" w:sz="0" w:space="0" w:color="auto"/>
      </w:divBdr>
    </w:div>
    <w:div w:id="987393175">
      <w:bodyDiv w:val="1"/>
      <w:marLeft w:val="0"/>
      <w:marRight w:val="0"/>
      <w:marTop w:val="0"/>
      <w:marBottom w:val="0"/>
      <w:divBdr>
        <w:top w:val="none" w:sz="0" w:space="0" w:color="auto"/>
        <w:left w:val="none" w:sz="0" w:space="0" w:color="auto"/>
        <w:bottom w:val="none" w:sz="0" w:space="0" w:color="auto"/>
        <w:right w:val="none" w:sz="0" w:space="0" w:color="auto"/>
      </w:divBdr>
    </w:div>
    <w:div w:id="989208671">
      <w:bodyDiv w:val="1"/>
      <w:marLeft w:val="0"/>
      <w:marRight w:val="0"/>
      <w:marTop w:val="0"/>
      <w:marBottom w:val="0"/>
      <w:divBdr>
        <w:top w:val="none" w:sz="0" w:space="0" w:color="auto"/>
        <w:left w:val="none" w:sz="0" w:space="0" w:color="auto"/>
        <w:bottom w:val="none" w:sz="0" w:space="0" w:color="auto"/>
        <w:right w:val="none" w:sz="0" w:space="0" w:color="auto"/>
      </w:divBdr>
    </w:div>
    <w:div w:id="991637230">
      <w:bodyDiv w:val="1"/>
      <w:marLeft w:val="0"/>
      <w:marRight w:val="0"/>
      <w:marTop w:val="0"/>
      <w:marBottom w:val="0"/>
      <w:divBdr>
        <w:top w:val="none" w:sz="0" w:space="0" w:color="auto"/>
        <w:left w:val="none" w:sz="0" w:space="0" w:color="auto"/>
        <w:bottom w:val="none" w:sz="0" w:space="0" w:color="auto"/>
        <w:right w:val="none" w:sz="0" w:space="0" w:color="auto"/>
      </w:divBdr>
    </w:div>
    <w:div w:id="992416646">
      <w:bodyDiv w:val="1"/>
      <w:marLeft w:val="0"/>
      <w:marRight w:val="0"/>
      <w:marTop w:val="0"/>
      <w:marBottom w:val="0"/>
      <w:divBdr>
        <w:top w:val="none" w:sz="0" w:space="0" w:color="auto"/>
        <w:left w:val="none" w:sz="0" w:space="0" w:color="auto"/>
        <w:bottom w:val="none" w:sz="0" w:space="0" w:color="auto"/>
        <w:right w:val="none" w:sz="0" w:space="0" w:color="auto"/>
      </w:divBdr>
    </w:div>
    <w:div w:id="995835654">
      <w:bodyDiv w:val="1"/>
      <w:marLeft w:val="0"/>
      <w:marRight w:val="0"/>
      <w:marTop w:val="0"/>
      <w:marBottom w:val="0"/>
      <w:divBdr>
        <w:top w:val="none" w:sz="0" w:space="0" w:color="auto"/>
        <w:left w:val="none" w:sz="0" w:space="0" w:color="auto"/>
        <w:bottom w:val="none" w:sz="0" w:space="0" w:color="auto"/>
        <w:right w:val="none" w:sz="0" w:space="0" w:color="auto"/>
      </w:divBdr>
    </w:div>
    <w:div w:id="1002396949">
      <w:bodyDiv w:val="1"/>
      <w:marLeft w:val="0"/>
      <w:marRight w:val="0"/>
      <w:marTop w:val="0"/>
      <w:marBottom w:val="0"/>
      <w:divBdr>
        <w:top w:val="none" w:sz="0" w:space="0" w:color="auto"/>
        <w:left w:val="none" w:sz="0" w:space="0" w:color="auto"/>
        <w:bottom w:val="none" w:sz="0" w:space="0" w:color="auto"/>
        <w:right w:val="none" w:sz="0" w:space="0" w:color="auto"/>
      </w:divBdr>
    </w:div>
    <w:div w:id="1002859609">
      <w:bodyDiv w:val="1"/>
      <w:marLeft w:val="0"/>
      <w:marRight w:val="0"/>
      <w:marTop w:val="0"/>
      <w:marBottom w:val="0"/>
      <w:divBdr>
        <w:top w:val="none" w:sz="0" w:space="0" w:color="auto"/>
        <w:left w:val="none" w:sz="0" w:space="0" w:color="auto"/>
        <w:bottom w:val="none" w:sz="0" w:space="0" w:color="auto"/>
        <w:right w:val="none" w:sz="0" w:space="0" w:color="auto"/>
      </w:divBdr>
    </w:div>
    <w:div w:id="1009723004">
      <w:bodyDiv w:val="1"/>
      <w:marLeft w:val="0"/>
      <w:marRight w:val="0"/>
      <w:marTop w:val="0"/>
      <w:marBottom w:val="0"/>
      <w:divBdr>
        <w:top w:val="none" w:sz="0" w:space="0" w:color="auto"/>
        <w:left w:val="none" w:sz="0" w:space="0" w:color="auto"/>
        <w:bottom w:val="none" w:sz="0" w:space="0" w:color="auto"/>
        <w:right w:val="none" w:sz="0" w:space="0" w:color="auto"/>
      </w:divBdr>
    </w:div>
    <w:div w:id="1014768629">
      <w:bodyDiv w:val="1"/>
      <w:marLeft w:val="0"/>
      <w:marRight w:val="0"/>
      <w:marTop w:val="0"/>
      <w:marBottom w:val="0"/>
      <w:divBdr>
        <w:top w:val="none" w:sz="0" w:space="0" w:color="auto"/>
        <w:left w:val="none" w:sz="0" w:space="0" w:color="auto"/>
        <w:bottom w:val="none" w:sz="0" w:space="0" w:color="auto"/>
        <w:right w:val="none" w:sz="0" w:space="0" w:color="auto"/>
      </w:divBdr>
    </w:div>
    <w:div w:id="1017273916">
      <w:bodyDiv w:val="1"/>
      <w:marLeft w:val="0"/>
      <w:marRight w:val="0"/>
      <w:marTop w:val="0"/>
      <w:marBottom w:val="0"/>
      <w:divBdr>
        <w:top w:val="none" w:sz="0" w:space="0" w:color="auto"/>
        <w:left w:val="none" w:sz="0" w:space="0" w:color="auto"/>
        <w:bottom w:val="none" w:sz="0" w:space="0" w:color="auto"/>
        <w:right w:val="none" w:sz="0" w:space="0" w:color="auto"/>
      </w:divBdr>
    </w:div>
    <w:div w:id="1021005203">
      <w:bodyDiv w:val="1"/>
      <w:marLeft w:val="0"/>
      <w:marRight w:val="0"/>
      <w:marTop w:val="0"/>
      <w:marBottom w:val="0"/>
      <w:divBdr>
        <w:top w:val="none" w:sz="0" w:space="0" w:color="auto"/>
        <w:left w:val="none" w:sz="0" w:space="0" w:color="auto"/>
        <w:bottom w:val="none" w:sz="0" w:space="0" w:color="auto"/>
        <w:right w:val="none" w:sz="0" w:space="0" w:color="auto"/>
      </w:divBdr>
    </w:div>
    <w:div w:id="1024012385">
      <w:bodyDiv w:val="1"/>
      <w:marLeft w:val="0"/>
      <w:marRight w:val="0"/>
      <w:marTop w:val="0"/>
      <w:marBottom w:val="0"/>
      <w:divBdr>
        <w:top w:val="none" w:sz="0" w:space="0" w:color="auto"/>
        <w:left w:val="none" w:sz="0" w:space="0" w:color="auto"/>
        <w:bottom w:val="none" w:sz="0" w:space="0" w:color="auto"/>
        <w:right w:val="none" w:sz="0" w:space="0" w:color="auto"/>
      </w:divBdr>
    </w:div>
    <w:div w:id="1028874658">
      <w:bodyDiv w:val="1"/>
      <w:marLeft w:val="0"/>
      <w:marRight w:val="0"/>
      <w:marTop w:val="0"/>
      <w:marBottom w:val="0"/>
      <w:divBdr>
        <w:top w:val="none" w:sz="0" w:space="0" w:color="auto"/>
        <w:left w:val="none" w:sz="0" w:space="0" w:color="auto"/>
        <w:bottom w:val="none" w:sz="0" w:space="0" w:color="auto"/>
        <w:right w:val="none" w:sz="0" w:space="0" w:color="auto"/>
      </w:divBdr>
    </w:div>
    <w:div w:id="1043872942">
      <w:bodyDiv w:val="1"/>
      <w:marLeft w:val="0"/>
      <w:marRight w:val="0"/>
      <w:marTop w:val="0"/>
      <w:marBottom w:val="0"/>
      <w:divBdr>
        <w:top w:val="none" w:sz="0" w:space="0" w:color="auto"/>
        <w:left w:val="none" w:sz="0" w:space="0" w:color="auto"/>
        <w:bottom w:val="none" w:sz="0" w:space="0" w:color="auto"/>
        <w:right w:val="none" w:sz="0" w:space="0" w:color="auto"/>
      </w:divBdr>
    </w:div>
    <w:div w:id="1053113174">
      <w:bodyDiv w:val="1"/>
      <w:marLeft w:val="0"/>
      <w:marRight w:val="0"/>
      <w:marTop w:val="0"/>
      <w:marBottom w:val="0"/>
      <w:divBdr>
        <w:top w:val="none" w:sz="0" w:space="0" w:color="auto"/>
        <w:left w:val="none" w:sz="0" w:space="0" w:color="auto"/>
        <w:bottom w:val="none" w:sz="0" w:space="0" w:color="auto"/>
        <w:right w:val="none" w:sz="0" w:space="0" w:color="auto"/>
      </w:divBdr>
    </w:div>
    <w:div w:id="1060438630">
      <w:bodyDiv w:val="1"/>
      <w:marLeft w:val="0"/>
      <w:marRight w:val="0"/>
      <w:marTop w:val="0"/>
      <w:marBottom w:val="0"/>
      <w:divBdr>
        <w:top w:val="none" w:sz="0" w:space="0" w:color="auto"/>
        <w:left w:val="none" w:sz="0" w:space="0" w:color="auto"/>
        <w:bottom w:val="none" w:sz="0" w:space="0" w:color="auto"/>
        <w:right w:val="none" w:sz="0" w:space="0" w:color="auto"/>
      </w:divBdr>
    </w:div>
    <w:div w:id="1061096364">
      <w:bodyDiv w:val="1"/>
      <w:marLeft w:val="0"/>
      <w:marRight w:val="0"/>
      <w:marTop w:val="0"/>
      <w:marBottom w:val="0"/>
      <w:divBdr>
        <w:top w:val="none" w:sz="0" w:space="0" w:color="auto"/>
        <w:left w:val="none" w:sz="0" w:space="0" w:color="auto"/>
        <w:bottom w:val="none" w:sz="0" w:space="0" w:color="auto"/>
        <w:right w:val="none" w:sz="0" w:space="0" w:color="auto"/>
      </w:divBdr>
    </w:div>
    <w:div w:id="1063061831">
      <w:bodyDiv w:val="1"/>
      <w:marLeft w:val="0"/>
      <w:marRight w:val="0"/>
      <w:marTop w:val="0"/>
      <w:marBottom w:val="0"/>
      <w:divBdr>
        <w:top w:val="none" w:sz="0" w:space="0" w:color="auto"/>
        <w:left w:val="none" w:sz="0" w:space="0" w:color="auto"/>
        <w:bottom w:val="none" w:sz="0" w:space="0" w:color="auto"/>
        <w:right w:val="none" w:sz="0" w:space="0" w:color="auto"/>
      </w:divBdr>
    </w:div>
    <w:div w:id="1065421321">
      <w:bodyDiv w:val="1"/>
      <w:marLeft w:val="0"/>
      <w:marRight w:val="0"/>
      <w:marTop w:val="0"/>
      <w:marBottom w:val="0"/>
      <w:divBdr>
        <w:top w:val="none" w:sz="0" w:space="0" w:color="auto"/>
        <w:left w:val="none" w:sz="0" w:space="0" w:color="auto"/>
        <w:bottom w:val="none" w:sz="0" w:space="0" w:color="auto"/>
        <w:right w:val="none" w:sz="0" w:space="0" w:color="auto"/>
      </w:divBdr>
    </w:div>
    <w:div w:id="1067217405">
      <w:bodyDiv w:val="1"/>
      <w:marLeft w:val="0"/>
      <w:marRight w:val="0"/>
      <w:marTop w:val="0"/>
      <w:marBottom w:val="0"/>
      <w:divBdr>
        <w:top w:val="none" w:sz="0" w:space="0" w:color="auto"/>
        <w:left w:val="none" w:sz="0" w:space="0" w:color="auto"/>
        <w:bottom w:val="none" w:sz="0" w:space="0" w:color="auto"/>
        <w:right w:val="none" w:sz="0" w:space="0" w:color="auto"/>
      </w:divBdr>
    </w:div>
    <w:div w:id="1070924707">
      <w:bodyDiv w:val="1"/>
      <w:marLeft w:val="0"/>
      <w:marRight w:val="0"/>
      <w:marTop w:val="0"/>
      <w:marBottom w:val="0"/>
      <w:divBdr>
        <w:top w:val="none" w:sz="0" w:space="0" w:color="auto"/>
        <w:left w:val="none" w:sz="0" w:space="0" w:color="auto"/>
        <w:bottom w:val="none" w:sz="0" w:space="0" w:color="auto"/>
        <w:right w:val="none" w:sz="0" w:space="0" w:color="auto"/>
      </w:divBdr>
    </w:div>
    <w:div w:id="1073088246">
      <w:bodyDiv w:val="1"/>
      <w:marLeft w:val="0"/>
      <w:marRight w:val="0"/>
      <w:marTop w:val="0"/>
      <w:marBottom w:val="0"/>
      <w:divBdr>
        <w:top w:val="none" w:sz="0" w:space="0" w:color="auto"/>
        <w:left w:val="none" w:sz="0" w:space="0" w:color="auto"/>
        <w:bottom w:val="none" w:sz="0" w:space="0" w:color="auto"/>
        <w:right w:val="none" w:sz="0" w:space="0" w:color="auto"/>
      </w:divBdr>
    </w:div>
    <w:div w:id="1076591909">
      <w:bodyDiv w:val="1"/>
      <w:marLeft w:val="0"/>
      <w:marRight w:val="0"/>
      <w:marTop w:val="0"/>
      <w:marBottom w:val="0"/>
      <w:divBdr>
        <w:top w:val="none" w:sz="0" w:space="0" w:color="auto"/>
        <w:left w:val="none" w:sz="0" w:space="0" w:color="auto"/>
        <w:bottom w:val="none" w:sz="0" w:space="0" w:color="auto"/>
        <w:right w:val="none" w:sz="0" w:space="0" w:color="auto"/>
      </w:divBdr>
    </w:div>
    <w:div w:id="1078405029">
      <w:bodyDiv w:val="1"/>
      <w:marLeft w:val="0"/>
      <w:marRight w:val="0"/>
      <w:marTop w:val="0"/>
      <w:marBottom w:val="0"/>
      <w:divBdr>
        <w:top w:val="none" w:sz="0" w:space="0" w:color="auto"/>
        <w:left w:val="none" w:sz="0" w:space="0" w:color="auto"/>
        <w:bottom w:val="none" w:sz="0" w:space="0" w:color="auto"/>
        <w:right w:val="none" w:sz="0" w:space="0" w:color="auto"/>
      </w:divBdr>
    </w:div>
    <w:div w:id="1079062818">
      <w:bodyDiv w:val="1"/>
      <w:marLeft w:val="0"/>
      <w:marRight w:val="0"/>
      <w:marTop w:val="0"/>
      <w:marBottom w:val="0"/>
      <w:divBdr>
        <w:top w:val="none" w:sz="0" w:space="0" w:color="auto"/>
        <w:left w:val="none" w:sz="0" w:space="0" w:color="auto"/>
        <w:bottom w:val="none" w:sz="0" w:space="0" w:color="auto"/>
        <w:right w:val="none" w:sz="0" w:space="0" w:color="auto"/>
      </w:divBdr>
    </w:div>
    <w:div w:id="1083450759">
      <w:bodyDiv w:val="1"/>
      <w:marLeft w:val="0"/>
      <w:marRight w:val="0"/>
      <w:marTop w:val="0"/>
      <w:marBottom w:val="0"/>
      <w:divBdr>
        <w:top w:val="none" w:sz="0" w:space="0" w:color="auto"/>
        <w:left w:val="none" w:sz="0" w:space="0" w:color="auto"/>
        <w:bottom w:val="none" w:sz="0" w:space="0" w:color="auto"/>
        <w:right w:val="none" w:sz="0" w:space="0" w:color="auto"/>
      </w:divBdr>
    </w:div>
    <w:div w:id="1091707482">
      <w:bodyDiv w:val="1"/>
      <w:marLeft w:val="0"/>
      <w:marRight w:val="0"/>
      <w:marTop w:val="0"/>
      <w:marBottom w:val="0"/>
      <w:divBdr>
        <w:top w:val="none" w:sz="0" w:space="0" w:color="auto"/>
        <w:left w:val="none" w:sz="0" w:space="0" w:color="auto"/>
        <w:bottom w:val="none" w:sz="0" w:space="0" w:color="auto"/>
        <w:right w:val="none" w:sz="0" w:space="0" w:color="auto"/>
      </w:divBdr>
    </w:div>
    <w:div w:id="1095787304">
      <w:bodyDiv w:val="1"/>
      <w:marLeft w:val="0"/>
      <w:marRight w:val="0"/>
      <w:marTop w:val="0"/>
      <w:marBottom w:val="0"/>
      <w:divBdr>
        <w:top w:val="none" w:sz="0" w:space="0" w:color="auto"/>
        <w:left w:val="none" w:sz="0" w:space="0" w:color="auto"/>
        <w:bottom w:val="none" w:sz="0" w:space="0" w:color="auto"/>
        <w:right w:val="none" w:sz="0" w:space="0" w:color="auto"/>
      </w:divBdr>
    </w:div>
    <w:div w:id="1097560635">
      <w:bodyDiv w:val="1"/>
      <w:marLeft w:val="0"/>
      <w:marRight w:val="0"/>
      <w:marTop w:val="0"/>
      <w:marBottom w:val="0"/>
      <w:divBdr>
        <w:top w:val="none" w:sz="0" w:space="0" w:color="auto"/>
        <w:left w:val="none" w:sz="0" w:space="0" w:color="auto"/>
        <w:bottom w:val="none" w:sz="0" w:space="0" w:color="auto"/>
        <w:right w:val="none" w:sz="0" w:space="0" w:color="auto"/>
      </w:divBdr>
    </w:div>
    <w:div w:id="1102139941">
      <w:bodyDiv w:val="1"/>
      <w:marLeft w:val="0"/>
      <w:marRight w:val="0"/>
      <w:marTop w:val="0"/>
      <w:marBottom w:val="0"/>
      <w:divBdr>
        <w:top w:val="none" w:sz="0" w:space="0" w:color="auto"/>
        <w:left w:val="none" w:sz="0" w:space="0" w:color="auto"/>
        <w:bottom w:val="none" w:sz="0" w:space="0" w:color="auto"/>
        <w:right w:val="none" w:sz="0" w:space="0" w:color="auto"/>
      </w:divBdr>
    </w:div>
    <w:div w:id="1104308760">
      <w:bodyDiv w:val="1"/>
      <w:marLeft w:val="0"/>
      <w:marRight w:val="0"/>
      <w:marTop w:val="0"/>
      <w:marBottom w:val="0"/>
      <w:divBdr>
        <w:top w:val="none" w:sz="0" w:space="0" w:color="auto"/>
        <w:left w:val="none" w:sz="0" w:space="0" w:color="auto"/>
        <w:bottom w:val="none" w:sz="0" w:space="0" w:color="auto"/>
        <w:right w:val="none" w:sz="0" w:space="0" w:color="auto"/>
      </w:divBdr>
    </w:div>
    <w:div w:id="1108043853">
      <w:bodyDiv w:val="1"/>
      <w:marLeft w:val="0"/>
      <w:marRight w:val="0"/>
      <w:marTop w:val="0"/>
      <w:marBottom w:val="0"/>
      <w:divBdr>
        <w:top w:val="none" w:sz="0" w:space="0" w:color="auto"/>
        <w:left w:val="none" w:sz="0" w:space="0" w:color="auto"/>
        <w:bottom w:val="none" w:sz="0" w:space="0" w:color="auto"/>
        <w:right w:val="none" w:sz="0" w:space="0" w:color="auto"/>
      </w:divBdr>
    </w:div>
    <w:div w:id="1109355534">
      <w:bodyDiv w:val="1"/>
      <w:marLeft w:val="0"/>
      <w:marRight w:val="0"/>
      <w:marTop w:val="0"/>
      <w:marBottom w:val="0"/>
      <w:divBdr>
        <w:top w:val="none" w:sz="0" w:space="0" w:color="auto"/>
        <w:left w:val="none" w:sz="0" w:space="0" w:color="auto"/>
        <w:bottom w:val="none" w:sz="0" w:space="0" w:color="auto"/>
        <w:right w:val="none" w:sz="0" w:space="0" w:color="auto"/>
      </w:divBdr>
    </w:div>
    <w:div w:id="1110706024">
      <w:bodyDiv w:val="1"/>
      <w:marLeft w:val="0"/>
      <w:marRight w:val="0"/>
      <w:marTop w:val="0"/>
      <w:marBottom w:val="0"/>
      <w:divBdr>
        <w:top w:val="none" w:sz="0" w:space="0" w:color="auto"/>
        <w:left w:val="none" w:sz="0" w:space="0" w:color="auto"/>
        <w:bottom w:val="none" w:sz="0" w:space="0" w:color="auto"/>
        <w:right w:val="none" w:sz="0" w:space="0" w:color="auto"/>
      </w:divBdr>
    </w:div>
    <w:div w:id="1117404779">
      <w:bodyDiv w:val="1"/>
      <w:marLeft w:val="0"/>
      <w:marRight w:val="0"/>
      <w:marTop w:val="0"/>
      <w:marBottom w:val="0"/>
      <w:divBdr>
        <w:top w:val="none" w:sz="0" w:space="0" w:color="auto"/>
        <w:left w:val="none" w:sz="0" w:space="0" w:color="auto"/>
        <w:bottom w:val="none" w:sz="0" w:space="0" w:color="auto"/>
        <w:right w:val="none" w:sz="0" w:space="0" w:color="auto"/>
      </w:divBdr>
    </w:div>
    <w:div w:id="1119765762">
      <w:bodyDiv w:val="1"/>
      <w:marLeft w:val="0"/>
      <w:marRight w:val="0"/>
      <w:marTop w:val="0"/>
      <w:marBottom w:val="0"/>
      <w:divBdr>
        <w:top w:val="none" w:sz="0" w:space="0" w:color="auto"/>
        <w:left w:val="none" w:sz="0" w:space="0" w:color="auto"/>
        <w:bottom w:val="none" w:sz="0" w:space="0" w:color="auto"/>
        <w:right w:val="none" w:sz="0" w:space="0" w:color="auto"/>
      </w:divBdr>
    </w:div>
    <w:div w:id="1122262616">
      <w:bodyDiv w:val="1"/>
      <w:marLeft w:val="0"/>
      <w:marRight w:val="0"/>
      <w:marTop w:val="0"/>
      <w:marBottom w:val="0"/>
      <w:divBdr>
        <w:top w:val="none" w:sz="0" w:space="0" w:color="auto"/>
        <w:left w:val="none" w:sz="0" w:space="0" w:color="auto"/>
        <w:bottom w:val="none" w:sz="0" w:space="0" w:color="auto"/>
        <w:right w:val="none" w:sz="0" w:space="0" w:color="auto"/>
      </w:divBdr>
    </w:div>
    <w:div w:id="1124621390">
      <w:bodyDiv w:val="1"/>
      <w:marLeft w:val="0"/>
      <w:marRight w:val="0"/>
      <w:marTop w:val="0"/>
      <w:marBottom w:val="0"/>
      <w:divBdr>
        <w:top w:val="none" w:sz="0" w:space="0" w:color="auto"/>
        <w:left w:val="none" w:sz="0" w:space="0" w:color="auto"/>
        <w:bottom w:val="none" w:sz="0" w:space="0" w:color="auto"/>
        <w:right w:val="none" w:sz="0" w:space="0" w:color="auto"/>
      </w:divBdr>
    </w:div>
    <w:div w:id="1129668893">
      <w:bodyDiv w:val="1"/>
      <w:marLeft w:val="0"/>
      <w:marRight w:val="0"/>
      <w:marTop w:val="0"/>
      <w:marBottom w:val="0"/>
      <w:divBdr>
        <w:top w:val="none" w:sz="0" w:space="0" w:color="auto"/>
        <w:left w:val="none" w:sz="0" w:space="0" w:color="auto"/>
        <w:bottom w:val="none" w:sz="0" w:space="0" w:color="auto"/>
        <w:right w:val="none" w:sz="0" w:space="0" w:color="auto"/>
      </w:divBdr>
    </w:div>
    <w:div w:id="1132603146">
      <w:bodyDiv w:val="1"/>
      <w:marLeft w:val="0"/>
      <w:marRight w:val="0"/>
      <w:marTop w:val="0"/>
      <w:marBottom w:val="0"/>
      <w:divBdr>
        <w:top w:val="none" w:sz="0" w:space="0" w:color="auto"/>
        <w:left w:val="none" w:sz="0" w:space="0" w:color="auto"/>
        <w:bottom w:val="none" w:sz="0" w:space="0" w:color="auto"/>
        <w:right w:val="none" w:sz="0" w:space="0" w:color="auto"/>
      </w:divBdr>
    </w:div>
    <w:div w:id="1134248121">
      <w:bodyDiv w:val="1"/>
      <w:marLeft w:val="0"/>
      <w:marRight w:val="0"/>
      <w:marTop w:val="0"/>
      <w:marBottom w:val="0"/>
      <w:divBdr>
        <w:top w:val="none" w:sz="0" w:space="0" w:color="auto"/>
        <w:left w:val="none" w:sz="0" w:space="0" w:color="auto"/>
        <w:bottom w:val="none" w:sz="0" w:space="0" w:color="auto"/>
        <w:right w:val="none" w:sz="0" w:space="0" w:color="auto"/>
      </w:divBdr>
    </w:div>
    <w:div w:id="1147286297">
      <w:bodyDiv w:val="1"/>
      <w:marLeft w:val="0"/>
      <w:marRight w:val="0"/>
      <w:marTop w:val="0"/>
      <w:marBottom w:val="0"/>
      <w:divBdr>
        <w:top w:val="none" w:sz="0" w:space="0" w:color="auto"/>
        <w:left w:val="none" w:sz="0" w:space="0" w:color="auto"/>
        <w:bottom w:val="none" w:sz="0" w:space="0" w:color="auto"/>
        <w:right w:val="none" w:sz="0" w:space="0" w:color="auto"/>
      </w:divBdr>
    </w:div>
    <w:div w:id="1148016879">
      <w:bodyDiv w:val="1"/>
      <w:marLeft w:val="0"/>
      <w:marRight w:val="0"/>
      <w:marTop w:val="0"/>
      <w:marBottom w:val="0"/>
      <w:divBdr>
        <w:top w:val="none" w:sz="0" w:space="0" w:color="auto"/>
        <w:left w:val="none" w:sz="0" w:space="0" w:color="auto"/>
        <w:bottom w:val="none" w:sz="0" w:space="0" w:color="auto"/>
        <w:right w:val="none" w:sz="0" w:space="0" w:color="auto"/>
      </w:divBdr>
    </w:div>
    <w:div w:id="1150247735">
      <w:bodyDiv w:val="1"/>
      <w:marLeft w:val="0"/>
      <w:marRight w:val="0"/>
      <w:marTop w:val="0"/>
      <w:marBottom w:val="0"/>
      <w:divBdr>
        <w:top w:val="none" w:sz="0" w:space="0" w:color="auto"/>
        <w:left w:val="none" w:sz="0" w:space="0" w:color="auto"/>
        <w:bottom w:val="none" w:sz="0" w:space="0" w:color="auto"/>
        <w:right w:val="none" w:sz="0" w:space="0" w:color="auto"/>
      </w:divBdr>
    </w:div>
    <w:div w:id="1152529579">
      <w:bodyDiv w:val="1"/>
      <w:marLeft w:val="0"/>
      <w:marRight w:val="0"/>
      <w:marTop w:val="0"/>
      <w:marBottom w:val="0"/>
      <w:divBdr>
        <w:top w:val="none" w:sz="0" w:space="0" w:color="auto"/>
        <w:left w:val="none" w:sz="0" w:space="0" w:color="auto"/>
        <w:bottom w:val="none" w:sz="0" w:space="0" w:color="auto"/>
        <w:right w:val="none" w:sz="0" w:space="0" w:color="auto"/>
      </w:divBdr>
    </w:div>
    <w:div w:id="1155607905">
      <w:bodyDiv w:val="1"/>
      <w:marLeft w:val="0"/>
      <w:marRight w:val="0"/>
      <w:marTop w:val="0"/>
      <w:marBottom w:val="0"/>
      <w:divBdr>
        <w:top w:val="none" w:sz="0" w:space="0" w:color="auto"/>
        <w:left w:val="none" w:sz="0" w:space="0" w:color="auto"/>
        <w:bottom w:val="none" w:sz="0" w:space="0" w:color="auto"/>
        <w:right w:val="none" w:sz="0" w:space="0" w:color="auto"/>
      </w:divBdr>
      <w:divsChild>
        <w:div w:id="801272465">
          <w:marLeft w:val="0"/>
          <w:marRight w:val="0"/>
          <w:marTop w:val="0"/>
          <w:marBottom w:val="0"/>
          <w:divBdr>
            <w:top w:val="none" w:sz="0" w:space="0" w:color="auto"/>
            <w:left w:val="none" w:sz="0" w:space="0" w:color="auto"/>
            <w:bottom w:val="none" w:sz="0" w:space="0" w:color="auto"/>
            <w:right w:val="none" w:sz="0" w:space="0" w:color="auto"/>
          </w:divBdr>
          <w:divsChild>
            <w:div w:id="130535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8232029">
      <w:bodyDiv w:val="1"/>
      <w:marLeft w:val="0"/>
      <w:marRight w:val="0"/>
      <w:marTop w:val="0"/>
      <w:marBottom w:val="0"/>
      <w:divBdr>
        <w:top w:val="none" w:sz="0" w:space="0" w:color="auto"/>
        <w:left w:val="none" w:sz="0" w:space="0" w:color="auto"/>
        <w:bottom w:val="none" w:sz="0" w:space="0" w:color="auto"/>
        <w:right w:val="none" w:sz="0" w:space="0" w:color="auto"/>
      </w:divBdr>
    </w:div>
    <w:div w:id="1159687208">
      <w:bodyDiv w:val="1"/>
      <w:marLeft w:val="0"/>
      <w:marRight w:val="0"/>
      <w:marTop w:val="0"/>
      <w:marBottom w:val="0"/>
      <w:divBdr>
        <w:top w:val="none" w:sz="0" w:space="0" w:color="auto"/>
        <w:left w:val="none" w:sz="0" w:space="0" w:color="auto"/>
        <w:bottom w:val="none" w:sz="0" w:space="0" w:color="auto"/>
        <w:right w:val="none" w:sz="0" w:space="0" w:color="auto"/>
      </w:divBdr>
    </w:div>
    <w:div w:id="1163205214">
      <w:bodyDiv w:val="1"/>
      <w:marLeft w:val="0"/>
      <w:marRight w:val="0"/>
      <w:marTop w:val="0"/>
      <w:marBottom w:val="0"/>
      <w:divBdr>
        <w:top w:val="none" w:sz="0" w:space="0" w:color="auto"/>
        <w:left w:val="none" w:sz="0" w:space="0" w:color="auto"/>
        <w:bottom w:val="none" w:sz="0" w:space="0" w:color="auto"/>
        <w:right w:val="none" w:sz="0" w:space="0" w:color="auto"/>
      </w:divBdr>
    </w:div>
    <w:div w:id="1163661337">
      <w:bodyDiv w:val="1"/>
      <w:marLeft w:val="0"/>
      <w:marRight w:val="0"/>
      <w:marTop w:val="0"/>
      <w:marBottom w:val="0"/>
      <w:divBdr>
        <w:top w:val="none" w:sz="0" w:space="0" w:color="auto"/>
        <w:left w:val="none" w:sz="0" w:space="0" w:color="auto"/>
        <w:bottom w:val="none" w:sz="0" w:space="0" w:color="auto"/>
        <w:right w:val="none" w:sz="0" w:space="0" w:color="auto"/>
      </w:divBdr>
    </w:div>
    <w:div w:id="1176770502">
      <w:bodyDiv w:val="1"/>
      <w:marLeft w:val="0"/>
      <w:marRight w:val="0"/>
      <w:marTop w:val="0"/>
      <w:marBottom w:val="0"/>
      <w:divBdr>
        <w:top w:val="none" w:sz="0" w:space="0" w:color="auto"/>
        <w:left w:val="none" w:sz="0" w:space="0" w:color="auto"/>
        <w:bottom w:val="none" w:sz="0" w:space="0" w:color="auto"/>
        <w:right w:val="none" w:sz="0" w:space="0" w:color="auto"/>
      </w:divBdr>
    </w:div>
    <w:div w:id="1182890476">
      <w:bodyDiv w:val="1"/>
      <w:marLeft w:val="0"/>
      <w:marRight w:val="0"/>
      <w:marTop w:val="0"/>
      <w:marBottom w:val="0"/>
      <w:divBdr>
        <w:top w:val="none" w:sz="0" w:space="0" w:color="auto"/>
        <w:left w:val="none" w:sz="0" w:space="0" w:color="auto"/>
        <w:bottom w:val="none" w:sz="0" w:space="0" w:color="auto"/>
        <w:right w:val="none" w:sz="0" w:space="0" w:color="auto"/>
      </w:divBdr>
    </w:div>
    <w:div w:id="1186407857">
      <w:bodyDiv w:val="1"/>
      <w:marLeft w:val="0"/>
      <w:marRight w:val="0"/>
      <w:marTop w:val="0"/>
      <w:marBottom w:val="0"/>
      <w:divBdr>
        <w:top w:val="none" w:sz="0" w:space="0" w:color="auto"/>
        <w:left w:val="none" w:sz="0" w:space="0" w:color="auto"/>
        <w:bottom w:val="none" w:sz="0" w:space="0" w:color="auto"/>
        <w:right w:val="none" w:sz="0" w:space="0" w:color="auto"/>
      </w:divBdr>
    </w:div>
    <w:div w:id="1187794248">
      <w:bodyDiv w:val="1"/>
      <w:marLeft w:val="0"/>
      <w:marRight w:val="0"/>
      <w:marTop w:val="0"/>
      <w:marBottom w:val="0"/>
      <w:divBdr>
        <w:top w:val="none" w:sz="0" w:space="0" w:color="auto"/>
        <w:left w:val="none" w:sz="0" w:space="0" w:color="auto"/>
        <w:bottom w:val="none" w:sz="0" w:space="0" w:color="auto"/>
        <w:right w:val="none" w:sz="0" w:space="0" w:color="auto"/>
      </w:divBdr>
    </w:div>
    <w:div w:id="1187912073">
      <w:bodyDiv w:val="1"/>
      <w:marLeft w:val="0"/>
      <w:marRight w:val="0"/>
      <w:marTop w:val="0"/>
      <w:marBottom w:val="0"/>
      <w:divBdr>
        <w:top w:val="none" w:sz="0" w:space="0" w:color="auto"/>
        <w:left w:val="none" w:sz="0" w:space="0" w:color="auto"/>
        <w:bottom w:val="none" w:sz="0" w:space="0" w:color="auto"/>
        <w:right w:val="none" w:sz="0" w:space="0" w:color="auto"/>
      </w:divBdr>
    </w:div>
    <w:div w:id="1189833516">
      <w:bodyDiv w:val="1"/>
      <w:marLeft w:val="0"/>
      <w:marRight w:val="0"/>
      <w:marTop w:val="0"/>
      <w:marBottom w:val="0"/>
      <w:divBdr>
        <w:top w:val="none" w:sz="0" w:space="0" w:color="auto"/>
        <w:left w:val="none" w:sz="0" w:space="0" w:color="auto"/>
        <w:bottom w:val="none" w:sz="0" w:space="0" w:color="auto"/>
        <w:right w:val="none" w:sz="0" w:space="0" w:color="auto"/>
      </w:divBdr>
    </w:div>
    <w:div w:id="1190415280">
      <w:bodyDiv w:val="1"/>
      <w:marLeft w:val="0"/>
      <w:marRight w:val="0"/>
      <w:marTop w:val="0"/>
      <w:marBottom w:val="0"/>
      <w:divBdr>
        <w:top w:val="none" w:sz="0" w:space="0" w:color="auto"/>
        <w:left w:val="none" w:sz="0" w:space="0" w:color="auto"/>
        <w:bottom w:val="none" w:sz="0" w:space="0" w:color="auto"/>
        <w:right w:val="none" w:sz="0" w:space="0" w:color="auto"/>
      </w:divBdr>
    </w:div>
    <w:div w:id="1191382446">
      <w:bodyDiv w:val="1"/>
      <w:marLeft w:val="0"/>
      <w:marRight w:val="0"/>
      <w:marTop w:val="0"/>
      <w:marBottom w:val="0"/>
      <w:divBdr>
        <w:top w:val="none" w:sz="0" w:space="0" w:color="auto"/>
        <w:left w:val="none" w:sz="0" w:space="0" w:color="auto"/>
        <w:bottom w:val="none" w:sz="0" w:space="0" w:color="auto"/>
        <w:right w:val="none" w:sz="0" w:space="0" w:color="auto"/>
      </w:divBdr>
    </w:div>
    <w:div w:id="1192231491">
      <w:bodyDiv w:val="1"/>
      <w:marLeft w:val="0"/>
      <w:marRight w:val="0"/>
      <w:marTop w:val="0"/>
      <w:marBottom w:val="0"/>
      <w:divBdr>
        <w:top w:val="none" w:sz="0" w:space="0" w:color="auto"/>
        <w:left w:val="none" w:sz="0" w:space="0" w:color="auto"/>
        <w:bottom w:val="none" w:sz="0" w:space="0" w:color="auto"/>
        <w:right w:val="none" w:sz="0" w:space="0" w:color="auto"/>
      </w:divBdr>
    </w:div>
    <w:div w:id="1199707552">
      <w:bodyDiv w:val="1"/>
      <w:marLeft w:val="0"/>
      <w:marRight w:val="0"/>
      <w:marTop w:val="0"/>
      <w:marBottom w:val="0"/>
      <w:divBdr>
        <w:top w:val="none" w:sz="0" w:space="0" w:color="auto"/>
        <w:left w:val="none" w:sz="0" w:space="0" w:color="auto"/>
        <w:bottom w:val="none" w:sz="0" w:space="0" w:color="auto"/>
        <w:right w:val="none" w:sz="0" w:space="0" w:color="auto"/>
      </w:divBdr>
    </w:div>
    <w:div w:id="1201431982">
      <w:bodyDiv w:val="1"/>
      <w:marLeft w:val="0"/>
      <w:marRight w:val="0"/>
      <w:marTop w:val="0"/>
      <w:marBottom w:val="0"/>
      <w:divBdr>
        <w:top w:val="none" w:sz="0" w:space="0" w:color="auto"/>
        <w:left w:val="none" w:sz="0" w:space="0" w:color="auto"/>
        <w:bottom w:val="none" w:sz="0" w:space="0" w:color="auto"/>
        <w:right w:val="none" w:sz="0" w:space="0" w:color="auto"/>
      </w:divBdr>
    </w:div>
    <w:div w:id="1207333862">
      <w:bodyDiv w:val="1"/>
      <w:marLeft w:val="0"/>
      <w:marRight w:val="0"/>
      <w:marTop w:val="0"/>
      <w:marBottom w:val="0"/>
      <w:divBdr>
        <w:top w:val="none" w:sz="0" w:space="0" w:color="auto"/>
        <w:left w:val="none" w:sz="0" w:space="0" w:color="auto"/>
        <w:bottom w:val="none" w:sz="0" w:space="0" w:color="auto"/>
        <w:right w:val="none" w:sz="0" w:space="0" w:color="auto"/>
      </w:divBdr>
    </w:div>
    <w:div w:id="1211958014">
      <w:bodyDiv w:val="1"/>
      <w:marLeft w:val="0"/>
      <w:marRight w:val="0"/>
      <w:marTop w:val="0"/>
      <w:marBottom w:val="0"/>
      <w:divBdr>
        <w:top w:val="none" w:sz="0" w:space="0" w:color="auto"/>
        <w:left w:val="none" w:sz="0" w:space="0" w:color="auto"/>
        <w:bottom w:val="none" w:sz="0" w:space="0" w:color="auto"/>
        <w:right w:val="none" w:sz="0" w:space="0" w:color="auto"/>
      </w:divBdr>
    </w:div>
    <w:div w:id="1213347926">
      <w:bodyDiv w:val="1"/>
      <w:marLeft w:val="0"/>
      <w:marRight w:val="0"/>
      <w:marTop w:val="0"/>
      <w:marBottom w:val="0"/>
      <w:divBdr>
        <w:top w:val="none" w:sz="0" w:space="0" w:color="auto"/>
        <w:left w:val="none" w:sz="0" w:space="0" w:color="auto"/>
        <w:bottom w:val="none" w:sz="0" w:space="0" w:color="auto"/>
        <w:right w:val="none" w:sz="0" w:space="0" w:color="auto"/>
      </w:divBdr>
    </w:div>
    <w:div w:id="1214346019">
      <w:bodyDiv w:val="1"/>
      <w:marLeft w:val="0"/>
      <w:marRight w:val="0"/>
      <w:marTop w:val="0"/>
      <w:marBottom w:val="0"/>
      <w:divBdr>
        <w:top w:val="none" w:sz="0" w:space="0" w:color="auto"/>
        <w:left w:val="none" w:sz="0" w:space="0" w:color="auto"/>
        <w:bottom w:val="none" w:sz="0" w:space="0" w:color="auto"/>
        <w:right w:val="none" w:sz="0" w:space="0" w:color="auto"/>
      </w:divBdr>
    </w:div>
    <w:div w:id="1217542654">
      <w:bodyDiv w:val="1"/>
      <w:marLeft w:val="0"/>
      <w:marRight w:val="0"/>
      <w:marTop w:val="0"/>
      <w:marBottom w:val="0"/>
      <w:divBdr>
        <w:top w:val="none" w:sz="0" w:space="0" w:color="auto"/>
        <w:left w:val="none" w:sz="0" w:space="0" w:color="auto"/>
        <w:bottom w:val="none" w:sz="0" w:space="0" w:color="auto"/>
        <w:right w:val="none" w:sz="0" w:space="0" w:color="auto"/>
      </w:divBdr>
    </w:div>
    <w:div w:id="1218391428">
      <w:bodyDiv w:val="1"/>
      <w:marLeft w:val="0"/>
      <w:marRight w:val="0"/>
      <w:marTop w:val="0"/>
      <w:marBottom w:val="0"/>
      <w:divBdr>
        <w:top w:val="none" w:sz="0" w:space="0" w:color="auto"/>
        <w:left w:val="none" w:sz="0" w:space="0" w:color="auto"/>
        <w:bottom w:val="none" w:sz="0" w:space="0" w:color="auto"/>
        <w:right w:val="none" w:sz="0" w:space="0" w:color="auto"/>
      </w:divBdr>
    </w:div>
    <w:div w:id="1224760042">
      <w:bodyDiv w:val="1"/>
      <w:marLeft w:val="0"/>
      <w:marRight w:val="0"/>
      <w:marTop w:val="0"/>
      <w:marBottom w:val="0"/>
      <w:divBdr>
        <w:top w:val="none" w:sz="0" w:space="0" w:color="auto"/>
        <w:left w:val="none" w:sz="0" w:space="0" w:color="auto"/>
        <w:bottom w:val="none" w:sz="0" w:space="0" w:color="auto"/>
        <w:right w:val="none" w:sz="0" w:space="0" w:color="auto"/>
      </w:divBdr>
    </w:div>
    <w:div w:id="1230768240">
      <w:bodyDiv w:val="1"/>
      <w:marLeft w:val="0"/>
      <w:marRight w:val="0"/>
      <w:marTop w:val="0"/>
      <w:marBottom w:val="0"/>
      <w:divBdr>
        <w:top w:val="none" w:sz="0" w:space="0" w:color="auto"/>
        <w:left w:val="none" w:sz="0" w:space="0" w:color="auto"/>
        <w:bottom w:val="none" w:sz="0" w:space="0" w:color="auto"/>
        <w:right w:val="none" w:sz="0" w:space="0" w:color="auto"/>
      </w:divBdr>
    </w:div>
    <w:div w:id="1232693213">
      <w:bodyDiv w:val="1"/>
      <w:marLeft w:val="0"/>
      <w:marRight w:val="0"/>
      <w:marTop w:val="0"/>
      <w:marBottom w:val="0"/>
      <w:divBdr>
        <w:top w:val="none" w:sz="0" w:space="0" w:color="auto"/>
        <w:left w:val="none" w:sz="0" w:space="0" w:color="auto"/>
        <w:bottom w:val="none" w:sz="0" w:space="0" w:color="auto"/>
        <w:right w:val="none" w:sz="0" w:space="0" w:color="auto"/>
      </w:divBdr>
    </w:div>
    <w:div w:id="1233199221">
      <w:bodyDiv w:val="1"/>
      <w:marLeft w:val="0"/>
      <w:marRight w:val="0"/>
      <w:marTop w:val="0"/>
      <w:marBottom w:val="0"/>
      <w:divBdr>
        <w:top w:val="none" w:sz="0" w:space="0" w:color="auto"/>
        <w:left w:val="none" w:sz="0" w:space="0" w:color="auto"/>
        <w:bottom w:val="none" w:sz="0" w:space="0" w:color="auto"/>
        <w:right w:val="none" w:sz="0" w:space="0" w:color="auto"/>
      </w:divBdr>
    </w:div>
    <w:div w:id="1237475222">
      <w:bodyDiv w:val="1"/>
      <w:marLeft w:val="0"/>
      <w:marRight w:val="0"/>
      <w:marTop w:val="0"/>
      <w:marBottom w:val="0"/>
      <w:divBdr>
        <w:top w:val="none" w:sz="0" w:space="0" w:color="auto"/>
        <w:left w:val="none" w:sz="0" w:space="0" w:color="auto"/>
        <w:bottom w:val="none" w:sz="0" w:space="0" w:color="auto"/>
        <w:right w:val="none" w:sz="0" w:space="0" w:color="auto"/>
      </w:divBdr>
    </w:div>
    <w:div w:id="1237669237">
      <w:bodyDiv w:val="1"/>
      <w:marLeft w:val="0"/>
      <w:marRight w:val="0"/>
      <w:marTop w:val="0"/>
      <w:marBottom w:val="0"/>
      <w:divBdr>
        <w:top w:val="none" w:sz="0" w:space="0" w:color="auto"/>
        <w:left w:val="none" w:sz="0" w:space="0" w:color="auto"/>
        <w:bottom w:val="none" w:sz="0" w:space="0" w:color="auto"/>
        <w:right w:val="none" w:sz="0" w:space="0" w:color="auto"/>
      </w:divBdr>
    </w:div>
    <w:div w:id="1243102287">
      <w:bodyDiv w:val="1"/>
      <w:marLeft w:val="0"/>
      <w:marRight w:val="0"/>
      <w:marTop w:val="0"/>
      <w:marBottom w:val="0"/>
      <w:divBdr>
        <w:top w:val="none" w:sz="0" w:space="0" w:color="auto"/>
        <w:left w:val="none" w:sz="0" w:space="0" w:color="auto"/>
        <w:bottom w:val="none" w:sz="0" w:space="0" w:color="auto"/>
        <w:right w:val="none" w:sz="0" w:space="0" w:color="auto"/>
      </w:divBdr>
    </w:div>
    <w:div w:id="1245841023">
      <w:bodyDiv w:val="1"/>
      <w:marLeft w:val="0"/>
      <w:marRight w:val="0"/>
      <w:marTop w:val="0"/>
      <w:marBottom w:val="0"/>
      <w:divBdr>
        <w:top w:val="none" w:sz="0" w:space="0" w:color="auto"/>
        <w:left w:val="none" w:sz="0" w:space="0" w:color="auto"/>
        <w:bottom w:val="none" w:sz="0" w:space="0" w:color="auto"/>
        <w:right w:val="none" w:sz="0" w:space="0" w:color="auto"/>
      </w:divBdr>
    </w:div>
    <w:div w:id="1250311186">
      <w:bodyDiv w:val="1"/>
      <w:marLeft w:val="0"/>
      <w:marRight w:val="0"/>
      <w:marTop w:val="0"/>
      <w:marBottom w:val="0"/>
      <w:divBdr>
        <w:top w:val="none" w:sz="0" w:space="0" w:color="auto"/>
        <w:left w:val="none" w:sz="0" w:space="0" w:color="auto"/>
        <w:bottom w:val="none" w:sz="0" w:space="0" w:color="auto"/>
        <w:right w:val="none" w:sz="0" w:space="0" w:color="auto"/>
      </w:divBdr>
    </w:div>
    <w:div w:id="1252395636">
      <w:bodyDiv w:val="1"/>
      <w:marLeft w:val="0"/>
      <w:marRight w:val="0"/>
      <w:marTop w:val="0"/>
      <w:marBottom w:val="0"/>
      <w:divBdr>
        <w:top w:val="none" w:sz="0" w:space="0" w:color="auto"/>
        <w:left w:val="none" w:sz="0" w:space="0" w:color="auto"/>
        <w:bottom w:val="none" w:sz="0" w:space="0" w:color="auto"/>
        <w:right w:val="none" w:sz="0" w:space="0" w:color="auto"/>
      </w:divBdr>
    </w:div>
    <w:div w:id="1252621150">
      <w:bodyDiv w:val="1"/>
      <w:marLeft w:val="0"/>
      <w:marRight w:val="0"/>
      <w:marTop w:val="0"/>
      <w:marBottom w:val="0"/>
      <w:divBdr>
        <w:top w:val="none" w:sz="0" w:space="0" w:color="auto"/>
        <w:left w:val="none" w:sz="0" w:space="0" w:color="auto"/>
        <w:bottom w:val="none" w:sz="0" w:space="0" w:color="auto"/>
        <w:right w:val="none" w:sz="0" w:space="0" w:color="auto"/>
      </w:divBdr>
    </w:div>
    <w:div w:id="1257203114">
      <w:bodyDiv w:val="1"/>
      <w:marLeft w:val="0"/>
      <w:marRight w:val="0"/>
      <w:marTop w:val="0"/>
      <w:marBottom w:val="0"/>
      <w:divBdr>
        <w:top w:val="none" w:sz="0" w:space="0" w:color="auto"/>
        <w:left w:val="none" w:sz="0" w:space="0" w:color="auto"/>
        <w:bottom w:val="none" w:sz="0" w:space="0" w:color="auto"/>
        <w:right w:val="none" w:sz="0" w:space="0" w:color="auto"/>
      </w:divBdr>
    </w:div>
    <w:div w:id="1259218211">
      <w:bodyDiv w:val="1"/>
      <w:marLeft w:val="0"/>
      <w:marRight w:val="0"/>
      <w:marTop w:val="0"/>
      <w:marBottom w:val="0"/>
      <w:divBdr>
        <w:top w:val="none" w:sz="0" w:space="0" w:color="auto"/>
        <w:left w:val="none" w:sz="0" w:space="0" w:color="auto"/>
        <w:bottom w:val="none" w:sz="0" w:space="0" w:color="auto"/>
        <w:right w:val="none" w:sz="0" w:space="0" w:color="auto"/>
      </w:divBdr>
    </w:div>
    <w:div w:id="1263221677">
      <w:bodyDiv w:val="1"/>
      <w:marLeft w:val="0"/>
      <w:marRight w:val="0"/>
      <w:marTop w:val="0"/>
      <w:marBottom w:val="0"/>
      <w:divBdr>
        <w:top w:val="none" w:sz="0" w:space="0" w:color="auto"/>
        <w:left w:val="none" w:sz="0" w:space="0" w:color="auto"/>
        <w:bottom w:val="none" w:sz="0" w:space="0" w:color="auto"/>
        <w:right w:val="none" w:sz="0" w:space="0" w:color="auto"/>
      </w:divBdr>
    </w:div>
    <w:div w:id="1263338633">
      <w:bodyDiv w:val="1"/>
      <w:marLeft w:val="0"/>
      <w:marRight w:val="0"/>
      <w:marTop w:val="0"/>
      <w:marBottom w:val="0"/>
      <w:divBdr>
        <w:top w:val="none" w:sz="0" w:space="0" w:color="auto"/>
        <w:left w:val="none" w:sz="0" w:space="0" w:color="auto"/>
        <w:bottom w:val="none" w:sz="0" w:space="0" w:color="auto"/>
        <w:right w:val="none" w:sz="0" w:space="0" w:color="auto"/>
      </w:divBdr>
    </w:div>
    <w:div w:id="1281886335">
      <w:bodyDiv w:val="1"/>
      <w:marLeft w:val="0"/>
      <w:marRight w:val="0"/>
      <w:marTop w:val="0"/>
      <w:marBottom w:val="0"/>
      <w:divBdr>
        <w:top w:val="none" w:sz="0" w:space="0" w:color="auto"/>
        <w:left w:val="none" w:sz="0" w:space="0" w:color="auto"/>
        <w:bottom w:val="none" w:sz="0" w:space="0" w:color="auto"/>
        <w:right w:val="none" w:sz="0" w:space="0" w:color="auto"/>
      </w:divBdr>
    </w:div>
    <w:div w:id="1283195915">
      <w:bodyDiv w:val="1"/>
      <w:marLeft w:val="0"/>
      <w:marRight w:val="0"/>
      <w:marTop w:val="0"/>
      <w:marBottom w:val="0"/>
      <w:divBdr>
        <w:top w:val="none" w:sz="0" w:space="0" w:color="auto"/>
        <w:left w:val="none" w:sz="0" w:space="0" w:color="auto"/>
        <w:bottom w:val="none" w:sz="0" w:space="0" w:color="auto"/>
        <w:right w:val="none" w:sz="0" w:space="0" w:color="auto"/>
      </w:divBdr>
    </w:div>
    <w:div w:id="1285386318">
      <w:bodyDiv w:val="1"/>
      <w:marLeft w:val="0"/>
      <w:marRight w:val="0"/>
      <w:marTop w:val="0"/>
      <w:marBottom w:val="0"/>
      <w:divBdr>
        <w:top w:val="none" w:sz="0" w:space="0" w:color="auto"/>
        <w:left w:val="none" w:sz="0" w:space="0" w:color="auto"/>
        <w:bottom w:val="none" w:sz="0" w:space="0" w:color="auto"/>
        <w:right w:val="none" w:sz="0" w:space="0" w:color="auto"/>
      </w:divBdr>
    </w:div>
    <w:div w:id="1285848250">
      <w:bodyDiv w:val="1"/>
      <w:marLeft w:val="0"/>
      <w:marRight w:val="0"/>
      <w:marTop w:val="0"/>
      <w:marBottom w:val="0"/>
      <w:divBdr>
        <w:top w:val="none" w:sz="0" w:space="0" w:color="auto"/>
        <w:left w:val="none" w:sz="0" w:space="0" w:color="auto"/>
        <w:bottom w:val="none" w:sz="0" w:space="0" w:color="auto"/>
        <w:right w:val="none" w:sz="0" w:space="0" w:color="auto"/>
      </w:divBdr>
    </w:div>
    <w:div w:id="1296905537">
      <w:bodyDiv w:val="1"/>
      <w:marLeft w:val="0"/>
      <w:marRight w:val="0"/>
      <w:marTop w:val="0"/>
      <w:marBottom w:val="0"/>
      <w:divBdr>
        <w:top w:val="none" w:sz="0" w:space="0" w:color="auto"/>
        <w:left w:val="none" w:sz="0" w:space="0" w:color="auto"/>
        <w:bottom w:val="none" w:sz="0" w:space="0" w:color="auto"/>
        <w:right w:val="none" w:sz="0" w:space="0" w:color="auto"/>
      </w:divBdr>
    </w:div>
    <w:div w:id="1300454044">
      <w:bodyDiv w:val="1"/>
      <w:marLeft w:val="0"/>
      <w:marRight w:val="0"/>
      <w:marTop w:val="0"/>
      <w:marBottom w:val="0"/>
      <w:divBdr>
        <w:top w:val="none" w:sz="0" w:space="0" w:color="auto"/>
        <w:left w:val="none" w:sz="0" w:space="0" w:color="auto"/>
        <w:bottom w:val="none" w:sz="0" w:space="0" w:color="auto"/>
        <w:right w:val="none" w:sz="0" w:space="0" w:color="auto"/>
      </w:divBdr>
    </w:div>
    <w:div w:id="1300768030">
      <w:bodyDiv w:val="1"/>
      <w:marLeft w:val="0"/>
      <w:marRight w:val="0"/>
      <w:marTop w:val="0"/>
      <w:marBottom w:val="0"/>
      <w:divBdr>
        <w:top w:val="none" w:sz="0" w:space="0" w:color="auto"/>
        <w:left w:val="none" w:sz="0" w:space="0" w:color="auto"/>
        <w:bottom w:val="none" w:sz="0" w:space="0" w:color="auto"/>
        <w:right w:val="none" w:sz="0" w:space="0" w:color="auto"/>
      </w:divBdr>
    </w:div>
    <w:div w:id="1302542037">
      <w:bodyDiv w:val="1"/>
      <w:marLeft w:val="0"/>
      <w:marRight w:val="0"/>
      <w:marTop w:val="0"/>
      <w:marBottom w:val="0"/>
      <w:divBdr>
        <w:top w:val="none" w:sz="0" w:space="0" w:color="auto"/>
        <w:left w:val="none" w:sz="0" w:space="0" w:color="auto"/>
        <w:bottom w:val="none" w:sz="0" w:space="0" w:color="auto"/>
        <w:right w:val="none" w:sz="0" w:space="0" w:color="auto"/>
      </w:divBdr>
    </w:div>
    <w:div w:id="1303732218">
      <w:bodyDiv w:val="1"/>
      <w:marLeft w:val="0"/>
      <w:marRight w:val="0"/>
      <w:marTop w:val="0"/>
      <w:marBottom w:val="0"/>
      <w:divBdr>
        <w:top w:val="none" w:sz="0" w:space="0" w:color="auto"/>
        <w:left w:val="none" w:sz="0" w:space="0" w:color="auto"/>
        <w:bottom w:val="none" w:sz="0" w:space="0" w:color="auto"/>
        <w:right w:val="none" w:sz="0" w:space="0" w:color="auto"/>
      </w:divBdr>
    </w:div>
    <w:div w:id="1309284461">
      <w:bodyDiv w:val="1"/>
      <w:marLeft w:val="0"/>
      <w:marRight w:val="0"/>
      <w:marTop w:val="0"/>
      <w:marBottom w:val="0"/>
      <w:divBdr>
        <w:top w:val="none" w:sz="0" w:space="0" w:color="auto"/>
        <w:left w:val="none" w:sz="0" w:space="0" w:color="auto"/>
        <w:bottom w:val="none" w:sz="0" w:space="0" w:color="auto"/>
        <w:right w:val="none" w:sz="0" w:space="0" w:color="auto"/>
      </w:divBdr>
    </w:div>
    <w:div w:id="1312978174">
      <w:bodyDiv w:val="1"/>
      <w:marLeft w:val="0"/>
      <w:marRight w:val="0"/>
      <w:marTop w:val="0"/>
      <w:marBottom w:val="0"/>
      <w:divBdr>
        <w:top w:val="none" w:sz="0" w:space="0" w:color="auto"/>
        <w:left w:val="none" w:sz="0" w:space="0" w:color="auto"/>
        <w:bottom w:val="none" w:sz="0" w:space="0" w:color="auto"/>
        <w:right w:val="none" w:sz="0" w:space="0" w:color="auto"/>
      </w:divBdr>
    </w:div>
    <w:div w:id="1315909781">
      <w:bodyDiv w:val="1"/>
      <w:marLeft w:val="0"/>
      <w:marRight w:val="0"/>
      <w:marTop w:val="0"/>
      <w:marBottom w:val="0"/>
      <w:divBdr>
        <w:top w:val="none" w:sz="0" w:space="0" w:color="auto"/>
        <w:left w:val="none" w:sz="0" w:space="0" w:color="auto"/>
        <w:bottom w:val="none" w:sz="0" w:space="0" w:color="auto"/>
        <w:right w:val="none" w:sz="0" w:space="0" w:color="auto"/>
      </w:divBdr>
      <w:divsChild>
        <w:div w:id="67266659">
          <w:marLeft w:val="480"/>
          <w:marRight w:val="0"/>
          <w:marTop w:val="0"/>
          <w:marBottom w:val="0"/>
          <w:divBdr>
            <w:top w:val="none" w:sz="0" w:space="0" w:color="auto"/>
            <w:left w:val="none" w:sz="0" w:space="0" w:color="auto"/>
            <w:bottom w:val="none" w:sz="0" w:space="0" w:color="auto"/>
            <w:right w:val="none" w:sz="0" w:space="0" w:color="auto"/>
          </w:divBdr>
          <w:divsChild>
            <w:div w:id="133256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50493">
      <w:bodyDiv w:val="1"/>
      <w:marLeft w:val="0"/>
      <w:marRight w:val="0"/>
      <w:marTop w:val="0"/>
      <w:marBottom w:val="0"/>
      <w:divBdr>
        <w:top w:val="none" w:sz="0" w:space="0" w:color="auto"/>
        <w:left w:val="none" w:sz="0" w:space="0" w:color="auto"/>
        <w:bottom w:val="none" w:sz="0" w:space="0" w:color="auto"/>
        <w:right w:val="none" w:sz="0" w:space="0" w:color="auto"/>
      </w:divBdr>
    </w:div>
    <w:div w:id="1319307610">
      <w:bodyDiv w:val="1"/>
      <w:marLeft w:val="0"/>
      <w:marRight w:val="0"/>
      <w:marTop w:val="0"/>
      <w:marBottom w:val="0"/>
      <w:divBdr>
        <w:top w:val="none" w:sz="0" w:space="0" w:color="auto"/>
        <w:left w:val="none" w:sz="0" w:space="0" w:color="auto"/>
        <w:bottom w:val="none" w:sz="0" w:space="0" w:color="auto"/>
        <w:right w:val="none" w:sz="0" w:space="0" w:color="auto"/>
      </w:divBdr>
    </w:div>
    <w:div w:id="1320420081">
      <w:bodyDiv w:val="1"/>
      <w:marLeft w:val="0"/>
      <w:marRight w:val="0"/>
      <w:marTop w:val="0"/>
      <w:marBottom w:val="0"/>
      <w:divBdr>
        <w:top w:val="none" w:sz="0" w:space="0" w:color="auto"/>
        <w:left w:val="none" w:sz="0" w:space="0" w:color="auto"/>
        <w:bottom w:val="none" w:sz="0" w:space="0" w:color="auto"/>
        <w:right w:val="none" w:sz="0" w:space="0" w:color="auto"/>
      </w:divBdr>
    </w:div>
    <w:div w:id="1324697566">
      <w:bodyDiv w:val="1"/>
      <w:marLeft w:val="0"/>
      <w:marRight w:val="0"/>
      <w:marTop w:val="0"/>
      <w:marBottom w:val="0"/>
      <w:divBdr>
        <w:top w:val="none" w:sz="0" w:space="0" w:color="auto"/>
        <w:left w:val="none" w:sz="0" w:space="0" w:color="auto"/>
        <w:bottom w:val="none" w:sz="0" w:space="0" w:color="auto"/>
        <w:right w:val="none" w:sz="0" w:space="0" w:color="auto"/>
      </w:divBdr>
    </w:div>
    <w:div w:id="1325091205">
      <w:bodyDiv w:val="1"/>
      <w:marLeft w:val="0"/>
      <w:marRight w:val="0"/>
      <w:marTop w:val="0"/>
      <w:marBottom w:val="0"/>
      <w:divBdr>
        <w:top w:val="none" w:sz="0" w:space="0" w:color="auto"/>
        <w:left w:val="none" w:sz="0" w:space="0" w:color="auto"/>
        <w:bottom w:val="none" w:sz="0" w:space="0" w:color="auto"/>
        <w:right w:val="none" w:sz="0" w:space="0" w:color="auto"/>
      </w:divBdr>
    </w:div>
    <w:div w:id="1329210755">
      <w:bodyDiv w:val="1"/>
      <w:marLeft w:val="0"/>
      <w:marRight w:val="0"/>
      <w:marTop w:val="0"/>
      <w:marBottom w:val="0"/>
      <w:divBdr>
        <w:top w:val="none" w:sz="0" w:space="0" w:color="auto"/>
        <w:left w:val="none" w:sz="0" w:space="0" w:color="auto"/>
        <w:bottom w:val="none" w:sz="0" w:space="0" w:color="auto"/>
        <w:right w:val="none" w:sz="0" w:space="0" w:color="auto"/>
      </w:divBdr>
    </w:div>
    <w:div w:id="1331716318">
      <w:bodyDiv w:val="1"/>
      <w:marLeft w:val="0"/>
      <w:marRight w:val="0"/>
      <w:marTop w:val="0"/>
      <w:marBottom w:val="0"/>
      <w:divBdr>
        <w:top w:val="none" w:sz="0" w:space="0" w:color="auto"/>
        <w:left w:val="none" w:sz="0" w:space="0" w:color="auto"/>
        <w:bottom w:val="none" w:sz="0" w:space="0" w:color="auto"/>
        <w:right w:val="none" w:sz="0" w:space="0" w:color="auto"/>
      </w:divBdr>
    </w:div>
    <w:div w:id="1336424641">
      <w:bodyDiv w:val="1"/>
      <w:marLeft w:val="0"/>
      <w:marRight w:val="0"/>
      <w:marTop w:val="0"/>
      <w:marBottom w:val="0"/>
      <w:divBdr>
        <w:top w:val="none" w:sz="0" w:space="0" w:color="auto"/>
        <w:left w:val="none" w:sz="0" w:space="0" w:color="auto"/>
        <w:bottom w:val="none" w:sz="0" w:space="0" w:color="auto"/>
        <w:right w:val="none" w:sz="0" w:space="0" w:color="auto"/>
      </w:divBdr>
    </w:div>
    <w:div w:id="1340233582">
      <w:bodyDiv w:val="1"/>
      <w:marLeft w:val="0"/>
      <w:marRight w:val="0"/>
      <w:marTop w:val="0"/>
      <w:marBottom w:val="0"/>
      <w:divBdr>
        <w:top w:val="none" w:sz="0" w:space="0" w:color="auto"/>
        <w:left w:val="none" w:sz="0" w:space="0" w:color="auto"/>
        <w:bottom w:val="none" w:sz="0" w:space="0" w:color="auto"/>
        <w:right w:val="none" w:sz="0" w:space="0" w:color="auto"/>
      </w:divBdr>
    </w:div>
    <w:div w:id="1346984054">
      <w:bodyDiv w:val="1"/>
      <w:marLeft w:val="0"/>
      <w:marRight w:val="0"/>
      <w:marTop w:val="0"/>
      <w:marBottom w:val="0"/>
      <w:divBdr>
        <w:top w:val="none" w:sz="0" w:space="0" w:color="auto"/>
        <w:left w:val="none" w:sz="0" w:space="0" w:color="auto"/>
        <w:bottom w:val="none" w:sz="0" w:space="0" w:color="auto"/>
        <w:right w:val="none" w:sz="0" w:space="0" w:color="auto"/>
      </w:divBdr>
    </w:div>
    <w:div w:id="1349602438">
      <w:bodyDiv w:val="1"/>
      <w:marLeft w:val="0"/>
      <w:marRight w:val="0"/>
      <w:marTop w:val="0"/>
      <w:marBottom w:val="0"/>
      <w:divBdr>
        <w:top w:val="none" w:sz="0" w:space="0" w:color="auto"/>
        <w:left w:val="none" w:sz="0" w:space="0" w:color="auto"/>
        <w:bottom w:val="none" w:sz="0" w:space="0" w:color="auto"/>
        <w:right w:val="none" w:sz="0" w:space="0" w:color="auto"/>
      </w:divBdr>
    </w:div>
    <w:div w:id="1350135378">
      <w:bodyDiv w:val="1"/>
      <w:marLeft w:val="0"/>
      <w:marRight w:val="0"/>
      <w:marTop w:val="0"/>
      <w:marBottom w:val="0"/>
      <w:divBdr>
        <w:top w:val="none" w:sz="0" w:space="0" w:color="auto"/>
        <w:left w:val="none" w:sz="0" w:space="0" w:color="auto"/>
        <w:bottom w:val="none" w:sz="0" w:space="0" w:color="auto"/>
        <w:right w:val="none" w:sz="0" w:space="0" w:color="auto"/>
      </w:divBdr>
    </w:div>
    <w:div w:id="1354575128">
      <w:bodyDiv w:val="1"/>
      <w:marLeft w:val="0"/>
      <w:marRight w:val="0"/>
      <w:marTop w:val="0"/>
      <w:marBottom w:val="0"/>
      <w:divBdr>
        <w:top w:val="none" w:sz="0" w:space="0" w:color="auto"/>
        <w:left w:val="none" w:sz="0" w:space="0" w:color="auto"/>
        <w:bottom w:val="none" w:sz="0" w:space="0" w:color="auto"/>
        <w:right w:val="none" w:sz="0" w:space="0" w:color="auto"/>
      </w:divBdr>
    </w:div>
    <w:div w:id="1359696952">
      <w:bodyDiv w:val="1"/>
      <w:marLeft w:val="0"/>
      <w:marRight w:val="0"/>
      <w:marTop w:val="0"/>
      <w:marBottom w:val="0"/>
      <w:divBdr>
        <w:top w:val="none" w:sz="0" w:space="0" w:color="auto"/>
        <w:left w:val="none" w:sz="0" w:space="0" w:color="auto"/>
        <w:bottom w:val="none" w:sz="0" w:space="0" w:color="auto"/>
        <w:right w:val="none" w:sz="0" w:space="0" w:color="auto"/>
      </w:divBdr>
    </w:div>
    <w:div w:id="1361396258">
      <w:bodyDiv w:val="1"/>
      <w:marLeft w:val="0"/>
      <w:marRight w:val="0"/>
      <w:marTop w:val="0"/>
      <w:marBottom w:val="0"/>
      <w:divBdr>
        <w:top w:val="none" w:sz="0" w:space="0" w:color="auto"/>
        <w:left w:val="none" w:sz="0" w:space="0" w:color="auto"/>
        <w:bottom w:val="none" w:sz="0" w:space="0" w:color="auto"/>
        <w:right w:val="none" w:sz="0" w:space="0" w:color="auto"/>
      </w:divBdr>
    </w:div>
    <w:div w:id="1362827301">
      <w:bodyDiv w:val="1"/>
      <w:marLeft w:val="0"/>
      <w:marRight w:val="0"/>
      <w:marTop w:val="0"/>
      <w:marBottom w:val="0"/>
      <w:divBdr>
        <w:top w:val="none" w:sz="0" w:space="0" w:color="auto"/>
        <w:left w:val="none" w:sz="0" w:space="0" w:color="auto"/>
        <w:bottom w:val="none" w:sz="0" w:space="0" w:color="auto"/>
        <w:right w:val="none" w:sz="0" w:space="0" w:color="auto"/>
      </w:divBdr>
    </w:div>
    <w:div w:id="1363750733">
      <w:bodyDiv w:val="1"/>
      <w:marLeft w:val="0"/>
      <w:marRight w:val="0"/>
      <w:marTop w:val="0"/>
      <w:marBottom w:val="0"/>
      <w:divBdr>
        <w:top w:val="none" w:sz="0" w:space="0" w:color="auto"/>
        <w:left w:val="none" w:sz="0" w:space="0" w:color="auto"/>
        <w:bottom w:val="none" w:sz="0" w:space="0" w:color="auto"/>
        <w:right w:val="none" w:sz="0" w:space="0" w:color="auto"/>
      </w:divBdr>
    </w:div>
    <w:div w:id="1367561779">
      <w:bodyDiv w:val="1"/>
      <w:marLeft w:val="0"/>
      <w:marRight w:val="0"/>
      <w:marTop w:val="0"/>
      <w:marBottom w:val="0"/>
      <w:divBdr>
        <w:top w:val="none" w:sz="0" w:space="0" w:color="auto"/>
        <w:left w:val="none" w:sz="0" w:space="0" w:color="auto"/>
        <w:bottom w:val="none" w:sz="0" w:space="0" w:color="auto"/>
        <w:right w:val="none" w:sz="0" w:space="0" w:color="auto"/>
      </w:divBdr>
    </w:div>
    <w:div w:id="1368330869">
      <w:bodyDiv w:val="1"/>
      <w:marLeft w:val="0"/>
      <w:marRight w:val="0"/>
      <w:marTop w:val="0"/>
      <w:marBottom w:val="0"/>
      <w:divBdr>
        <w:top w:val="none" w:sz="0" w:space="0" w:color="auto"/>
        <w:left w:val="none" w:sz="0" w:space="0" w:color="auto"/>
        <w:bottom w:val="none" w:sz="0" w:space="0" w:color="auto"/>
        <w:right w:val="none" w:sz="0" w:space="0" w:color="auto"/>
      </w:divBdr>
    </w:div>
    <w:div w:id="1369455273">
      <w:bodyDiv w:val="1"/>
      <w:marLeft w:val="0"/>
      <w:marRight w:val="0"/>
      <w:marTop w:val="0"/>
      <w:marBottom w:val="0"/>
      <w:divBdr>
        <w:top w:val="none" w:sz="0" w:space="0" w:color="auto"/>
        <w:left w:val="none" w:sz="0" w:space="0" w:color="auto"/>
        <w:bottom w:val="none" w:sz="0" w:space="0" w:color="auto"/>
        <w:right w:val="none" w:sz="0" w:space="0" w:color="auto"/>
      </w:divBdr>
    </w:div>
    <w:div w:id="1369643276">
      <w:bodyDiv w:val="1"/>
      <w:marLeft w:val="0"/>
      <w:marRight w:val="0"/>
      <w:marTop w:val="0"/>
      <w:marBottom w:val="0"/>
      <w:divBdr>
        <w:top w:val="none" w:sz="0" w:space="0" w:color="auto"/>
        <w:left w:val="none" w:sz="0" w:space="0" w:color="auto"/>
        <w:bottom w:val="none" w:sz="0" w:space="0" w:color="auto"/>
        <w:right w:val="none" w:sz="0" w:space="0" w:color="auto"/>
      </w:divBdr>
    </w:div>
    <w:div w:id="1375277740">
      <w:bodyDiv w:val="1"/>
      <w:marLeft w:val="0"/>
      <w:marRight w:val="0"/>
      <w:marTop w:val="0"/>
      <w:marBottom w:val="0"/>
      <w:divBdr>
        <w:top w:val="none" w:sz="0" w:space="0" w:color="auto"/>
        <w:left w:val="none" w:sz="0" w:space="0" w:color="auto"/>
        <w:bottom w:val="none" w:sz="0" w:space="0" w:color="auto"/>
        <w:right w:val="none" w:sz="0" w:space="0" w:color="auto"/>
      </w:divBdr>
    </w:div>
    <w:div w:id="1375499241">
      <w:bodyDiv w:val="1"/>
      <w:marLeft w:val="0"/>
      <w:marRight w:val="0"/>
      <w:marTop w:val="0"/>
      <w:marBottom w:val="0"/>
      <w:divBdr>
        <w:top w:val="none" w:sz="0" w:space="0" w:color="auto"/>
        <w:left w:val="none" w:sz="0" w:space="0" w:color="auto"/>
        <w:bottom w:val="none" w:sz="0" w:space="0" w:color="auto"/>
        <w:right w:val="none" w:sz="0" w:space="0" w:color="auto"/>
      </w:divBdr>
    </w:div>
    <w:div w:id="1379236606">
      <w:bodyDiv w:val="1"/>
      <w:marLeft w:val="0"/>
      <w:marRight w:val="0"/>
      <w:marTop w:val="0"/>
      <w:marBottom w:val="0"/>
      <w:divBdr>
        <w:top w:val="none" w:sz="0" w:space="0" w:color="auto"/>
        <w:left w:val="none" w:sz="0" w:space="0" w:color="auto"/>
        <w:bottom w:val="none" w:sz="0" w:space="0" w:color="auto"/>
        <w:right w:val="none" w:sz="0" w:space="0" w:color="auto"/>
      </w:divBdr>
    </w:div>
    <w:div w:id="1382823574">
      <w:bodyDiv w:val="1"/>
      <w:marLeft w:val="0"/>
      <w:marRight w:val="0"/>
      <w:marTop w:val="0"/>
      <w:marBottom w:val="0"/>
      <w:divBdr>
        <w:top w:val="none" w:sz="0" w:space="0" w:color="auto"/>
        <w:left w:val="none" w:sz="0" w:space="0" w:color="auto"/>
        <w:bottom w:val="none" w:sz="0" w:space="0" w:color="auto"/>
        <w:right w:val="none" w:sz="0" w:space="0" w:color="auto"/>
      </w:divBdr>
    </w:div>
    <w:div w:id="1383863120">
      <w:bodyDiv w:val="1"/>
      <w:marLeft w:val="0"/>
      <w:marRight w:val="0"/>
      <w:marTop w:val="0"/>
      <w:marBottom w:val="0"/>
      <w:divBdr>
        <w:top w:val="none" w:sz="0" w:space="0" w:color="auto"/>
        <w:left w:val="none" w:sz="0" w:space="0" w:color="auto"/>
        <w:bottom w:val="none" w:sz="0" w:space="0" w:color="auto"/>
        <w:right w:val="none" w:sz="0" w:space="0" w:color="auto"/>
      </w:divBdr>
    </w:div>
    <w:div w:id="1384520059">
      <w:bodyDiv w:val="1"/>
      <w:marLeft w:val="0"/>
      <w:marRight w:val="0"/>
      <w:marTop w:val="0"/>
      <w:marBottom w:val="0"/>
      <w:divBdr>
        <w:top w:val="none" w:sz="0" w:space="0" w:color="auto"/>
        <w:left w:val="none" w:sz="0" w:space="0" w:color="auto"/>
        <w:bottom w:val="none" w:sz="0" w:space="0" w:color="auto"/>
        <w:right w:val="none" w:sz="0" w:space="0" w:color="auto"/>
      </w:divBdr>
    </w:div>
    <w:div w:id="1388070820">
      <w:bodyDiv w:val="1"/>
      <w:marLeft w:val="0"/>
      <w:marRight w:val="0"/>
      <w:marTop w:val="0"/>
      <w:marBottom w:val="0"/>
      <w:divBdr>
        <w:top w:val="none" w:sz="0" w:space="0" w:color="auto"/>
        <w:left w:val="none" w:sz="0" w:space="0" w:color="auto"/>
        <w:bottom w:val="none" w:sz="0" w:space="0" w:color="auto"/>
        <w:right w:val="none" w:sz="0" w:space="0" w:color="auto"/>
      </w:divBdr>
    </w:div>
    <w:div w:id="1390301166">
      <w:bodyDiv w:val="1"/>
      <w:marLeft w:val="0"/>
      <w:marRight w:val="0"/>
      <w:marTop w:val="0"/>
      <w:marBottom w:val="0"/>
      <w:divBdr>
        <w:top w:val="none" w:sz="0" w:space="0" w:color="auto"/>
        <w:left w:val="none" w:sz="0" w:space="0" w:color="auto"/>
        <w:bottom w:val="none" w:sz="0" w:space="0" w:color="auto"/>
        <w:right w:val="none" w:sz="0" w:space="0" w:color="auto"/>
      </w:divBdr>
    </w:div>
    <w:div w:id="1391344451">
      <w:bodyDiv w:val="1"/>
      <w:marLeft w:val="0"/>
      <w:marRight w:val="0"/>
      <w:marTop w:val="0"/>
      <w:marBottom w:val="0"/>
      <w:divBdr>
        <w:top w:val="none" w:sz="0" w:space="0" w:color="auto"/>
        <w:left w:val="none" w:sz="0" w:space="0" w:color="auto"/>
        <w:bottom w:val="none" w:sz="0" w:space="0" w:color="auto"/>
        <w:right w:val="none" w:sz="0" w:space="0" w:color="auto"/>
      </w:divBdr>
    </w:div>
    <w:div w:id="1396468415">
      <w:bodyDiv w:val="1"/>
      <w:marLeft w:val="0"/>
      <w:marRight w:val="0"/>
      <w:marTop w:val="0"/>
      <w:marBottom w:val="0"/>
      <w:divBdr>
        <w:top w:val="none" w:sz="0" w:space="0" w:color="auto"/>
        <w:left w:val="none" w:sz="0" w:space="0" w:color="auto"/>
        <w:bottom w:val="none" w:sz="0" w:space="0" w:color="auto"/>
        <w:right w:val="none" w:sz="0" w:space="0" w:color="auto"/>
      </w:divBdr>
    </w:div>
    <w:div w:id="1405226357">
      <w:bodyDiv w:val="1"/>
      <w:marLeft w:val="0"/>
      <w:marRight w:val="0"/>
      <w:marTop w:val="0"/>
      <w:marBottom w:val="0"/>
      <w:divBdr>
        <w:top w:val="none" w:sz="0" w:space="0" w:color="auto"/>
        <w:left w:val="none" w:sz="0" w:space="0" w:color="auto"/>
        <w:bottom w:val="none" w:sz="0" w:space="0" w:color="auto"/>
        <w:right w:val="none" w:sz="0" w:space="0" w:color="auto"/>
      </w:divBdr>
    </w:div>
    <w:div w:id="1416627885">
      <w:bodyDiv w:val="1"/>
      <w:marLeft w:val="0"/>
      <w:marRight w:val="0"/>
      <w:marTop w:val="0"/>
      <w:marBottom w:val="0"/>
      <w:divBdr>
        <w:top w:val="none" w:sz="0" w:space="0" w:color="auto"/>
        <w:left w:val="none" w:sz="0" w:space="0" w:color="auto"/>
        <w:bottom w:val="none" w:sz="0" w:space="0" w:color="auto"/>
        <w:right w:val="none" w:sz="0" w:space="0" w:color="auto"/>
      </w:divBdr>
    </w:div>
    <w:div w:id="1416702330">
      <w:bodyDiv w:val="1"/>
      <w:marLeft w:val="0"/>
      <w:marRight w:val="0"/>
      <w:marTop w:val="0"/>
      <w:marBottom w:val="0"/>
      <w:divBdr>
        <w:top w:val="none" w:sz="0" w:space="0" w:color="auto"/>
        <w:left w:val="none" w:sz="0" w:space="0" w:color="auto"/>
        <w:bottom w:val="none" w:sz="0" w:space="0" w:color="auto"/>
        <w:right w:val="none" w:sz="0" w:space="0" w:color="auto"/>
      </w:divBdr>
    </w:div>
    <w:div w:id="1422948389">
      <w:bodyDiv w:val="1"/>
      <w:marLeft w:val="0"/>
      <w:marRight w:val="0"/>
      <w:marTop w:val="0"/>
      <w:marBottom w:val="0"/>
      <w:divBdr>
        <w:top w:val="none" w:sz="0" w:space="0" w:color="auto"/>
        <w:left w:val="none" w:sz="0" w:space="0" w:color="auto"/>
        <w:bottom w:val="none" w:sz="0" w:space="0" w:color="auto"/>
        <w:right w:val="none" w:sz="0" w:space="0" w:color="auto"/>
      </w:divBdr>
    </w:div>
    <w:div w:id="1423719956">
      <w:bodyDiv w:val="1"/>
      <w:marLeft w:val="0"/>
      <w:marRight w:val="0"/>
      <w:marTop w:val="0"/>
      <w:marBottom w:val="0"/>
      <w:divBdr>
        <w:top w:val="none" w:sz="0" w:space="0" w:color="auto"/>
        <w:left w:val="none" w:sz="0" w:space="0" w:color="auto"/>
        <w:bottom w:val="none" w:sz="0" w:space="0" w:color="auto"/>
        <w:right w:val="none" w:sz="0" w:space="0" w:color="auto"/>
      </w:divBdr>
    </w:div>
    <w:div w:id="1423989944">
      <w:bodyDiv w:val="1"/>
      <w:marLeft w:val="0"/>
      <w:marRight w:val="0"/>
      <w:marTop w:val="0"/>
      <w:marBottom w:val="0"/>
      <w:divBdr>
        <w:top w:val="none" w:sz="0" w:space="0" w:color="auto"/>
        <w:left w:val="none" w:sz="0" w:space="0" w:color="auto"/>
        <w:bottom w:val="none" w:sz="0" w:space="0" w:color="auto"/>
        <w:right w:val="none" w:sz="0" w:space="0" w:color="auto"/>
      </w:divBdr>
    </w:div>
    <w:div w:id="1425609097">
      <w:bodyDiv w:val="1"/>
      <w:marLeft w:val="0"/>
      <w:marRight w:val="0"/>
      <w:marTop w:val="0"/>
      <w:marBottom w:val="0"/>
      <w:divBdr>
        <w:top w:val="none" w:sz="0" w:space="0" w:color="auto"/>
        <w:left w:val="none" w:sz="0" w:space="0" w:color="auto"/>
        <w:bottom w:val="none" w:sz="0" w:space="0" w:color="auto"/>
        <w:right w:val="none" w:sz="0" w:space="0" w:color="auto"/>
      </w:divBdr>
    </w:div>
    <w:div w:id="1430662162">
      <w:bodyDiv w:val="1"/>
      <w:marLeft w:val="0"/>
      <w:marRight w:val="0"/>
      <w:marTop w:val="0"/>
      <w:marBottom w:val="0"/>
      <w:divBdr>
        <w:top w:val="none" w:sz="0" w:space="0" w:color="auto"/>
        <w:left w:val="none" w:sz="0" w:space="0" w:color="auto"/>
        <w:bottom w:val="none" w:sz="0" w:space="0" w:color="auto"/>
        <w:right w:val="none" w:sz="0" w:space="0" w:color="auto"/>
      </w:divBdr>
    </w:div>
    <w:div w:id="1431244416">
      <w:bodyDiv w:val="1"/>
      <w:marLeft w:val="0"/>
      <w:marRight w:val="0"/>
      <w:marTop w:val="0"/>
      <w:marBottom w:val="0"/>
      <w:divBdr>
        <w:top w:val="none" w:sz="0" w:space="0" w:color="auto"/>
        <w:left w:val="none" w:sz="0" w:space="0" w:color="auto"/>
        <w:bottom w:val="none" w:sz="0" w:space="0" w:color="auto"/>
        <w:right w:val="none" w:sz="0" w:space="0" w:color="auto"/>
      </w:divBdr>
    </w:div>
    <w:div w:id="1432698116">
      <w:bodyDiv w:val="1"/>
      <w:marLeft w:val="0"/>
      <w:marRight w:val="0"/>
      <w:marTop w:val="0"/>
      <w:marBottom w:val="0"/>
      <w:divBdr>
        <w:top w:val="none" w:sz="0" w:space="0" w:color="auto"/>
        <w:left w:val="none" w:sz="0" w:space="0" w:color="auto"/>
        <w:bottom w:val="none" w:sz="0" w:space="0" w:color="auto"/>
        <w:right w:val="none" w:sz="0" w:space="0" w:color="auto"/>
      </w:divBdr>
    </w:div>
    <w:div w:id="1433088526">
      <w:bodyDiv w:val="1"/>
      <w:marLeft w:val="0"/>
      <w:marRight w:val="0"/>
      <w:marTop w:val="0"/>
      <w:marBottom w:val="0"/>
      <w:divBdr>
        <w:top w:val="none" w:sz="0" w:space="0" w:color="auto"/>
        <w:left w:val="none" w:sz="0" w:space="0" w:color="auto"/>
        <w:bottom w:val="none" w:sz="0" w:space="0" w:color="auto"/>
        <w:right w:val="none" w:sz="0" w:space="0" w:color="auto"/>
      </w:divBdr>
    </w:div>
    <w:div w:id="1434326713">
      <w:bodyDiv w:val="1"/>
      <w:marLeft w:val="0"/>
      <w:marRight w:val="0"/>
      <w:marTop w:val="0"/>
      <w:marBottom w:val="0"/>
      <w:divBdr>
        <w:top w:val="none" w:sz="0" w:space="0" w:color="auto"/>
        <w:left w:val="none" w:sz="0" w:space="0" w:color="auto"/>
        <w:bottom w:val="none" w:sz="0" w:space="0" w:color="auto"/>
        <w:right w:val="none" w:sz="0" w:space="0" w:color="auto"/>
      </w:divBdr>
    </w:div>
    <w:div w:id="1434590184">
      <w:bodyDiv w:val="1"/>
      <w:marLeft w:val="0"/>
      <w:marRight w:val="0"/>
      <w:marTop w:val="0"/>
      <w:marBottom w:val="0"/>
      <w:divBdr>
        <w:top w:val="none" w:sz="0" w:space="0" w:color="auto"/>
        <w:left w:val="none" w:sz="0" w:space="0" w:color="auto"/>
        <w:bottom w:val="none" w:sz="0" w:space="0" w:color="auto"/>
        <w:right w:val="none" w:sz="0" w:space="0" w:color="auto"/>
      </w:divBdr>
    </w:div>
    <w:div w:id="1441530489">
      <w:bodyDiv w:val="1"/>
      <w:marLeft w:val="0"/>
      <w:marRight w:val="0"/>
      <w:marTop w:val="0"/>
      <w:marBottom w:val="0"/>
      <w:divBdr>
        <w:top w:val="none" w:sz="0" w:space="0" w:color="auto"/>
        <w:left w:val="none" w:sz="0" w:space="0" w:color="auto"/>
        <w:bottom w:val="none" w:sz="0" w:space="0" w:color="auto"/>
        <w:right w:val="none" w:sz="0" w:space="0" w:color="auto"/>
      </w:divBdr>
    </w:div>
    <w:div w:id="1442383115">
      <w:bodyDiv w:val="1"/>
      <w:marLeft w:val="0"/>
      <w:marRight w:val="0"/>
      <w:marTop w:val="0"/>
      <w:marBottom w:val="0"/>
      <w:divBdr>
        <w:top w:val="none" w:sz="0" w:space="0" w:color="auto"/>
        <w:left w:val="none" w:sz="0" w:space="0" w:color="auto"/>
        <w:bottom w:val="none" w:sz="0" w:space="0" w:color="auto"/>
        <w:right w:val="none" w:sz="0" w:space="0" w:color="auto"/>
      </w:divBdr>
    </w:div>
    <w:div w:id="1444501318">
      <w:bodyDiv w:val="1"/>
      <w:marLeft w:val="0"/>
      <w:marRight w:val="0"/>
      <w:marTop w:val="0"/>
      <w:marBottom w:val="0"/>
      <w:divBdr>
        <w:top w:val="none" w:sz="0" w:space="0" w:color="auto"/>
        <w:left w:val="none" w:sz="0" w:space="0" w:color="auto"/>
        <w:bottom w:val="none" w:sz="0" w:space="0" w:color="auto"/>
        <w:right w:val="none" w:sz="0" w:space="0" w:color="auto"/>
      </w:divBdr>
    </w:div>
    <w:div w:id="1445883772">
      <w:bodyDiv w:val="1"/>
      <w:marLeft w:val="0"/>
      <w:marRight w:val="0"/>
      <w:marTop w:val="0"/>
      <w:marBottom w:val="0"/>
      <w:divBdr>
        <w:top w:val="none" w:sz="0" w:space="0" w:color="auto"/>
        <w:left w:val="none" w:sz="0" w:space="0" w:color="auto"/>
        <w:bottom w:val="none" w:sz="0" w:space="0" w:color="auto"/>
        <w:right w:val="none" w:sz="0" w:space="0" w:color="auto"/>
      </w:divBdr>
    </w:div>
    <w:div w:id="1448809985">
      <w:bodyDiv w:val="1"/>
      <w:marLeft w:val="0"/>
      <w:marRight w:val="0"/>
      <w:marTop w:val="0"/>
      <w:marBottom w:val="0"/>
      <w:divBdr>
        <w:top w:val="none" w:sz="0" w:space="0" w:color="auto"/>
        <w:left w:val="none" w:sz="0" w:space="0" w:color="auto"/>
        <w:bottom w:val="none" w:sz="0" w:space="0" w:color="auto"/>
        <w:right w:val="none" w:sz="0" w:space="0" w:color="auto"/>
      </w:divBdr>
    </w:div>
    <w:div w:id="1449930166">
      <w:bodyDiv w:val="1"/>
      <w:marLeft w:val="0"/>
      <w:marRight w:val="0"/>
      <w:marTop w:val="0"/>
      <w:marBottom w:val="0"/>
      <w:divBdr>
        <w:top w:val="none" w:sz="0" w:space="0" w:color="auto"/>
        <w:left w:val="none" w:sz="0" w:space="0" w:color="auto"/>
        <w:bottom w:val="none" w:sz="0" w:space="0" w:color="auto"/>
        <w:right w:val="none" w:sz="0" w:space="0" w:color="auto"/>
      </w:divBdr>
    </w:div>
    <w:div w:id="1451440864">
      <w:bodyDiv w:val="1"/>
      <w:marLeft w:val="0"/>
      <w:marRight w:val="0"/>
      <w:marTop w:val="0"/>
      <w:marBottom w:val="0"/>
      <w:divBdr>
        <w:top w:val="none" w:sz="0" w:space="0" w:color="auto"/>
        <w:left w:val="none" w:sz="0" w:space="0" w:color="auto"/>
        <w:bottom w:val="none" w:sz="0" w:space="0" w:color="auto"/>
        <w:right w:val="none" w:sz="0" w:space="0" w:color="auto"/>
      </w:divBdr>
    </w:div>
    <w:div w:id="1452435884">
      <w:bodyDiv w:val="1"/>
      <w:marLeft w:val="0"/>
      <w:marRight w:val="0"/>
      <w:marTop w:val="0"/>
      <w:marBottom w:val="0"/>
      <w:divBdr>
        <w:top w:val="none" w:sz="0" w:space="0" w:color="auto"/>
        <w:left w:val="none" w:sz="0" w:space="0" w:color="auto"/>
        <w:bottom w:val="none" w:sz="0" w:space="0" w:color="auto"/>
        <w:right w:val="none" w:sz="0" w:space="0" w:color="auto"/>
      </w:divBdr>
    </w:div>
    <w:div w:id="1454321577">
      <w:bodyDiv w:val="1"/>
      <w:marLeft w:val="0"/>
      <w:marRight w:val="0"/>
      <w:marTop w:val="0"/>
      <w:marBottom w:val="0"/>
      <w:divBdr>
        <w:top w:val="none" w:sz="0" w:space="0" w:color="auto"/>
        <w:left w:val="none" w:sz="0" w:space="0" w:color="auto"/>
        <w:bottom w:val="none" w:sz="0" w:space="0" w:color="auto"/>
        <w:right w:val="none" w:sz="0" w:space="0" w:color="auto"/>
      </w:divBdr>
    </w:div>
    <w:div w:id="1458791054">
      <w:bodyDiv w:val="1"/>
      <w:marLeft w:val="0"/>
      <w:marRight w:val="0"/>
      <w:marTop w:val="0"/>
      <w:marBottom w:val="0"/>
      <w:divBdr>
        <w:top w:val="none" w:sz="0" w:space="0" w:color="auto"/>
        <w:left w:val="none" w:sz="0" w:space="0" w:color="auto"/>
        <w:bottom w:val="none" w:sz="0" w:space="0" w:color="auto"/>
        <w:right w:val="none" w:sz="0" w:space="0" w:color="auto"/>
      </w:divBdr>
    </w:div>
    <w:div w:id="1463303759">
      <w:bodyDiv w:val="1"/>
      <w:marLeft w:val="0"/>
      <w:marRight w:val="0"/>
      <w:marTop w:val="0"/>
      <w:marBottom w:val="0"/>
      <w:divBdr>
        <w:top w:val="none" w:sz="0" w:space="0" w:color="auto"/>
        <w:left w:val="none" w:sz="0" w:space="0" w:color="auto"/>
        <w:bottom w:val="none" w:sz="0" w:space="0" w:color="auto"/>
        <w:right w:val="none" w:sz="0" w:space="0" w:color="auto"/>
      </w:divBdr>
    </w:div>
    <w:div w:id="1466855764">
      <w:bodyDiv w:val="1"/>
      <w:marLeft w:val="0"/>
      <w:marRight w:val="0"/>
      <w:marTop w:val="0"/>
      <w:marBottom w:val="0"/>
      <w:divBdr>
        <w:top w:val="none" w:sz="0" w:space="0" w:color="auto"/>
        <w:left w:val="none" w:sz="0" w:space="0" w:color="auto"/>
        <w:bottom w:val="none" w:sz="0" w:space="0" w:color="auto"/>
        <w:right w:val="none" w:sz="0" w:space="0" w:color="auto"/>
      </w:divBdr>
    </w:div>
    <w:div w:id="1469476851">
      <w:bodyDiv w:val="1"/>
      <w:marLeft w:val="0"/>
      <w:marRight w:val="0"/>
      <w:marTop w:val="0"/>
      <w:marBottom w:val="0"/>
      <w:divBdr>
        <w:top w:val="none" w:sz="0" w:space="0" w:color="auto"/>
        <w:left w:val="none" w:sz="0" w:space="0" w:color="auto"/>
        <w:bottom w:val="none" w:sz="0" w:space="0" w:color="auto"/>
        <w:right w:val="none" w:sz="0" w:space="0" w:color="auto"/>
      </w:divBdr>
    </w:div>
    <w:div w:id="1471291847">
      <w:bodyDiv w:val="1"/>
      <w:marLeft w:val="0"/>
      <w:marRight w:val="0"/>
      <w:marTop w:val="0"/>
      <w:marBottom w:val="0"/>
      <w:divBdr>
        <w:top w:val="none" w:sz="0" w:space="0" w:color="auto"/>
        <w:left w:val="none" w:sz="0" w:space="0" w:color="auto"/>
        <w:bottom w:val="none" w:sz="0" w:space="0" w:color="auto"/>
        <w:right w:val="none" w:sz="0" w:space="0" w:color="auto"/>
      </w:divBdr>
    </w:div>
    <w:div w:id="1475488273">
      <w:bodyDiv w:val="1"/>
      <w:marLeft w:val="0"/>
      <w:marRight w:val="0"/>
      <w:marTop w:val="0"/>
      <w:marBottom w:val="0"/>
      <w:divBdr>
        <w:top w:val="none" w:sz="0" w:space="0" w:color="auto"/>
        <w:left w:val="none" w:sz="0" w:space="0" w:color="auto"/>
        <w:bottom w:val="none" w:sz="0" w:space="0" w:color="auto"/>
        <w:right w:val="none" w:sz="0" w:space="0" w:color="auto"/>
      </w:divBdr>
    </w:div>
    <w:div w:id="1476996138">
      <w:bodyDiv w:val="1"/>
      <w:marLeft w:val="0"/>
      <w:marRight w:val="0"/>
      <w:marTop w:val="0"/>
      <w:marBottom w:val="0"/>
      <w:divBdr>
        <w:top w:val="none" w:sz="0" w:space="0" w:color="auto"/>
        <w:left w:val="none" w:sz="0" w:space="0" w:color="auto"/>
        <w:bottom w:val="none" w:sz="0" w:space="0" w:color="auto"/>
        <w:right w:val="none" w:sz="0" w:space="0" w:color="auto"/>
      </w:divBdr>
    </w:div>
    <w:div w:id="1483037946">
      <w:bodyDiv w:val="1"/>
      <w:marLeft w:val="0"/>
      <w:marRight w:val="0"/>
      <w:marTop w:val="0"/>
      <w:marBottom w:val="0"/>
      <w:divBdr>
        <w:top w:val="none" w:sz="0" w:space="0" w:color="auto"/>
        <w:left w:val="none" w:sz="0" w:space="0" w:color="auto"/>
        <w:bottom w:val="none" w:sz="0" w:space="0" w:color="auto"/>
        <w:right w:val="none" w:sz="0" w:space="0" w:color="auto"/>
      </w:divBdr>
    </w:div>
    <w:div w:id="1487476041">
      <w:bodyDiv w:val="1"/>
      <w:marLeft w:val="0"/>
      <w:marRight w:val="0"/>
      <w:marTop w:val="0"/>
      <w:marBottom w:val="0"/>
      <w:divBdr>
        <w:top w:val="none" w:sz="0" w:space="0" w:color="auto"/>
        <w:left w:val="none" w:sz="0" w:space="0" w:color="auto"/>
        <w:bottom w:val="none" w:sz="0" w:space="0" w:color="auto"/>
        <w:right w:val="none" w:sz="0" w:space="0" w:color="auto"/>
      </w:divBdr>
    </w:div>
    <w:div w:id="1488013218">
      <w:bodyDiv w:val="1"/>
      <w:marLeft w:val="0"/>
      <w:marRight w:val="0"/>
      <w:marTop w:val="0"/>
      <w:marBottom w:val="0"/>
      <w:divBdr>
        <w:top w:val="none" w:sz="0" w:space="0" w:color="auto"/>
        <w:left w:val="none" w:sz="0" w:space="0" w:color="auto"/>
        <w:bottom w:val="none" w:sz="0" w:space="0" w:color="auto"/>
        <w:right w:val="none" w:sz="0" w:space="0" w:color="auto"/>
      </w:divBdr>
    </w:div>
    <w:div w:id="1490748761">
      <w:bodyDiv w:val="1"/>
      <w:marLeft w:val="0"/>
      <w:marRight w:val="0"/>
      <w:marTop w:val="0"/>
      <w:marBottom w:val="0"/>
      <w:divBdr>
        <w:top w:val="none" w:sz="0" w:space="0" w:color="auto"/>
        <w:left w:val="none" w:sz="0" w:space="0" w:color="auto"/>
        <w:bottom w:val="none" w:sz="0" w:space="0" w:color="auto"/>
        <w:right w:val="none" w:sz="0" w:space="0" w:color="auto"/>
      </w:divBdr>
    </w:div>
    <w:div w:id="1491288598">
      <w:bodyDiv w:val="1"/>
      <w:marLeft w:val="0"/>
      <w:marRight w:val="0"/>
      <w:marTop w:val="0"/>
      <w:marBottom w:val="0"/>
      <w:divBdr>
        <w:top w:val="none" w:sz="0" w:space="0" w:color="auto"/>
        <w:left w:val="none" w:sz="0" w:space="0" w:color="auto"/>
        <w:bottom w:val="none" w:sz="0" w:space="0" w:color="auto"/>
        <w:right w:val="none" w:sz="0" w:space="0" w:color="auto"/>
      </w:divBdr>
    </w:div>
    <w:div w:id="1497452400">
      <w:bodyDiv w:val="1"/>
      <w:marLeft w:val="0"/>
      <w:marRight w:val="0"/>
      <w:marTop w:val="0"/>
      <w:marBottom w:val="0"/>
      <w:divBdr>
        <w:top w:val="none" w:sz="0" w:space="0" w:color="auto"/>
        <w:left w:val="none" w:sz="0" w:space="0" w:color="auto"/>
        <w:bottom w:val="none" w:sz="0" w:space="0" w:color="auto"/>
        <w:right w:val="none" w:sz="0" w:space="0" w:color="auto"/>
      </w:divBdr>
    </w:div>
    <w:div w:id="1497720711">
      <w:bodyDiv w:val="1"/>
      <w:marLeft w:val="0"/>
      <w:marRight w:val="0"/>
      <w:marTop w:val="0"/>
      <w:marBottom w:val="0"/>
      <w:divBdr>
        <w:top w:val="none" w:sz="0" w:space="0" w:color="auto"/>
        <w:left w:val="none" w:sz="0" w:space="0" w:color="auto"/>
        <w:bottom w:val="none" w:sz="0" w:space="0" w:color="auto"/>
        <w:right w:val="none" w:sz="0" w:space="0" w:color="auto"/>
      </w:divBdr>
    </w:div>
    <w:div w:id="1497770646">
      <w:bodyDiv w:val="1"/>
      <w:marLeft w:val="0"/>
      <w:marRight w:val="0"/>
      <w:marTop w:val="0"/>
      <w:marBottom w:val="0"/>
      <w:divBdr>
        <w:top w:val="none" w:sz="0" w:space="0" w:color="auto"/>
        <w:left w:val="none" w:sz="0" w:space="0" w:color="auto"/>
        <w:bottom w:val="none" w:sz="0" w:space="0" w:color="auto"/>
        <w:right w:val="none" w:sz="0" w:space="0" w:color="auto"/>
      </w:divBdr>
    </w:div>
    <w:div w:id="1502623251">
      <w:bodyDiv w:val="1"/>
      <w:marLeft w:val="0"/>
      <w:marRight w:val="0"/>
      <w:marTop w:val="0"/>
      <w:marBottom w:val="0"/>
      <w:divBdr>
        <w:top w:val="none" w:sz="0" w:space="0" w:color="auto"/>
        <w:left w:val="none" w:sz="0" w:space="0" w:color="auto"/>
        <w:bottom w:val="none" w:sz="0" w:space="0" w:color="auto"/>
        <w:right w:val="none" w:sz="0" w:space="0" w:color="auto"/>
      </w:divBdr>
    </w:div>
    <w:div w:id="1505196409">
      <w:bodyDiv w:val="1"/>
      <w:marLeft w:val="0"/>
      <w:marRight w:val="0"/>
      <w:marTop w:val="0"/>
      <w:marBottom w:val="0"/>
      <w:divBdr>
        <w:top w:val="none" w:sz="0" w:space="0" w:color="auto"/>
        <w:left w:val="none" w:sz="0" w:space="0" w:color="auto"/>
        <w:bottom w:val="none" w:sz="0" w:space="0" w:color="auto"/>
        <w:right w:val="none" w:sz="0" w:space="0" w:color="auto"/>
      </w:divBdr>
    </w:div>
    <w:div w:id="1508986263">
      <w:bodyDiv w:val="1"/>
      <w:marLeft w:val="0"/>
      <w:marRight w:val="0"/>
      <w:marTop w:val="0"/>
      <w:marBottom w:val="0"/>
      <w:divBdr>
        <w:top w:val="none" w:sz="0" w:space="0" w:color="auto"/>
        <w:left w:val="none" w:sz="0" w:space="0" w:color="auto"/>
        <w:bottom w:val="none" w:sz="0" w:space="0" w:color="auto"/>
        <w:right w:val="none" w:sz="0" w:space="0" w:color="auto"/>
      </w:divBdr>
    </w:div>
    <w:div w:id="1509440374">
      <w:bodyDiv w:val="1"/>
      <w:marLeft w:val="0"/>
      <w:marRight w:val="0"/>
      <w:marTop w:val="0"/>
      <w:marBottom w:val="0"/>
      <w:divBdr>
        <w:top w:val="none" w:sz="0" w:space="0" w:color="auto"/>
        <w:left w:val="none" w:sz="0" w:space="0" w:color="auto"/>
        <w:bottom w:val="none" w:sz="0" w:space="0" w:color="auto"/>
        <w:right w:val="none" w:sz="0" w:space="0" w:color="auto"/>
      </w:divBdr>
    </w:div>
    <w:div w:id="1510753987">
      <w:bodyDiv w:val="1"/>
      <w:marLeft w:val="0"/>
      <w:marRight w:val="0"/>
      <w:marTop w:val="0"/>
      <w:marBottom w:val="0"/>
      <w:divBdr>
        <w:top w:val="none" w:sz="0" w:space="0" w:color="auto"/>
        <w:left w:val="none" w:sz="0" w:space="0" w:color="auto"/>
        <w:bottom w:val="none" w:sz="0" w:space="0" w:color="auto"/>
        <w:right w:val="none" w:sz="0" w:space="0" w:color="auto"/>
      </w:divBdr>
    </w:div>
    <w:div w:id="1511094836">
      <w:bodyDiv w:val="1"/>
      <w:marLeft w:val="0"/>
      <w:marRight w:val="0"/>
      <w:marTop w:val="0"/>
      <w:marBottom w:val="0"/>
      <w:divBdr>
        <w:top w:val="none" w:sz="0" w:space="0" w:color="auto"/>
        <w:left w:val="none" w:sz="0" w:space="0" w:color="auto"/>
        <w:bottom w:val="none" w:sz="0" w:space="0" w:color="auto"/>
        <w:right w:val="none" w:sz="0" w:space="0" w:color="auto"/>
      </w:divBdr>
    </w:div>
    <w:div w:id="1511601843">
      <w:bodyDiv w:val="1"/>
      <w:marLeft w:val="0"/>
      <w:marRight w:val="0"/>
      <w:marTop w:val="0"/>
      <w:marBottom w:val="0"/>
      <w:divBdr>
        <w:top w:val="none" w:sz="0" w:space="0" w:color="auto"/>
        <w:left w:val="none" w:sz="0" w:space="0" w:color="auto"/>
        <w:bottom w:val="none" w:sz="0" w:space="0" w:color="auto"/>
        <w:right w:val="none" w:sz="0" w:space="0" w:color="auto"/>
      </w:divBdr>
    </w:div>
    <w:div w:id="1512257729">
      <w:bodyDiv w:val="1"/>
      <w:marLeft w:val="0"/>
      <w:marRight w:val="0"/>
      <w:marTop w:val="0"/>
      <w:marBottom w:val="0"/>
      <w:divBdr>
        <w:top w:val="none" w:sz="0" w:space="0" w:color="auto"/>
        <w:left w:val="none" w:sz="0" w:space="0" w:color="auto"/>
        <w:bottom w:val="none" w:sz="0" w:space="0" w:color="auto"/>
        <w:right w:val="none" w:sz="0" w:space="0" w:color="auto"/>
      </w:divBdr>
    </w:div>
    <w:div w:id="1514495466">
      <w:bodyDiv w:val="1"/>
      <w:marLeft w:val="0"/>
      <w:marRight w:val="0"/>
      <w:marTop w:val="0"/>
      <w:marBottom w:val="0"/>
      <w:divBdr>
        <w:top w:val="none" w:sz="0" w:space="0" w:color="auto"/>
        <w:left w:val="none" w:sz="0" w:space="0" w:color="auto"/>
        <w:bottom w:val="none" w:sz="0" w:space="0" w:color="auto"/>
        <w:right w:val="none" w:sz="0" w:space="0" w:color="auto"/>
      </w:divBdr>
    </w:div>
    <w:div w:id="1519192454">
      <w:bodyDiv w:val="1"/>
      <w:marLeft w:val="0"/>
      <w:marRight w:val="0"/>
      <w:marTop w:val="0"/>
      <w:marBottom w:val="0"/>
      <w:divBdr>
        <w:top w:val="none" w:sz="0" w:space="0" w:color="auto"/>
        <w:left w:val="none" w:sz="0" w:space="0" w:color="auto"/>
        <w:bottom w:val="none" w:sz="0" w:space="0" w:color="auto"/>
        <w:right w:val="none" w:sz="0" w:space="0" w:color="auto"/>
      </w:divBdr>
    </w:div>
    <w:div w:id="1521165006">
      <w:bodyDiv w:val="1"/>
      <w:marLeft w:val="0"/>
      <w:marRight w:val="0"/>
      <w:marTop w:val="0"/>
      <w:marBottom w:val="0"/>
      <w:divBdr>
        <w:top w:val="none" w:sz="0" w:space="0" w:color="auto"/>
        <w:left w:val="none" w:sz="0" w:space="0" w:color="auto"/>
        <w:bottom w:val="none" w:sz="0" w:space="0" w:color="auto"/>
        <w:right w:val="none" w:sz="0" w:space="0" w:color="auto"/>
      </w:divBdr>
    </w:div>
    <w:div w:id="1524054379">
      <w:bodyDiv w:val="1"/>
      <w:marLeft w:val="0"/>
      <w:marRight w:val="0"/>
      <w:marTop w:val="0"/>
      <w:marBottom w:val="0"/>
      <w:divBdr>
        <w:top w:val="none" w:sz="0" w:space="0" w:color="auto"/>
        <w:left w:val="none" w:sz="0" w:space="0" w:color="auto"/>
        <w:bottom w:val="none" w:sz="0" w:space="0" w:color="auto"/>
        <w:right w:val="none" w:sz="0" w:space="0" w:color="auto"/>
      </w:divBdr>
    </w:div>
    <w:div w:id="1525055116">
      <w:bodyDiv w:val="1"/>
      <w:marLeft w:val="0"/>
      <w:marRight w:val="0"/>
      <w:marTop w:val="0"/>
      <w:marBottom w:val="0"/>
      <w:divBdr>
        <w:top w:val="none" w:sz="0" w:space="0" w:color="auto"/>
        <w:left w:val="none" w:sz="0" w:space="0" w:color="auto"/>
        <w:bottom w:val="none" w:sz="0" w:space="0" w:color="auto"/>
        <w:right w:val="none" w:sz="0" w:space="0" w:color="auto"/>
      </w:divBdr>
    </w:div>
    <w:div w:id="1525247998">
      <w:bodyDiv w:val="1"/>
      <w:marLeft w:val="0"/>
      <w:marRight w:val="0"/>
      <w:marTop w:val="0"/>
      <w:marBottom w:val="0"/>
      <w:divBdr>
        <w:top w:val="none" w:sz="0" w:space="0" w:color="auto"/>
        <w:left w:val="none" w:sz="0" w:space="0" w:color="auto"/>
        <w:bottom w:val="none" w:sz="0" w:space="0" w:color="auto"/>
        <w:right w:val="none" w:sz="0" w:space="0" w:color="auto"/>
      </w:divBdr>
    </w:div>
    <w:div w:id="1528907213">
      <w:bodyDiv w:val="1"/>
      <w:marLeft w:val="0"/>
      <w:marRight w:val="0"/>
      <w:marTop w:val="0"/>
      <w:marBottom w:val="0"/>
      <w:divBdr>
        <w:top w:val="none" w:sz="0" w:space="0" w:color="auto"/>
        <w:left w:val="none" w:sz="0" w:space="0" w:color="auto"/>
        <w:bottom w:val="none" w:sz="0" w:space="0" w:color="auto"/>
        <w:right w:val="none" w:sz="0" w:space="0" w:color="auto"/>
      </w:divBdr>
    </w:div>
    <w:div w:id="1529833875">
      <w:bodyDiv w:val="1"/>
      <w:marLeft w:val="0"/>
      <w:marRight w:val="0"/>
      <w:marTop w:val="0"/>
      <w:marBottom w:val="0"/>
      <w:divBdr>
        <w:top w:val="none" w:sz="0" w:space="0" w:color="auto"/>
        <w:left w:val="none" w:sz="0" w:space="0" w:color="auto"/>
        <w:bottom w:val="none" w:sz="0" w:space="0" w:color="auto"/>
        <w:right w:val="none" w:sz="0" w:space="0" w:color="auto"/>
      </w:divBdr>
    </w:div>
    <w:div w:id="1532500677">
      <w:bodyDiv w:val="1"/>
      <w:marLeft w:val="0"/>
      <w:marRight w:val="0"/>
      <w:marTop w:val="0"/>
      <w:marBottom w:val="0"/>
      <w:divBdr>
        <w:top w:val="none" w:sz="0" w:space="0" w:color="auto"/>
        <w:left w:val="none" w:sz="0" w:space="0" w:color="auto"/>
        <w:bottom w:val="none" w:sz="0" w:space="0" w:color="auto"/>
        <w:right w:val="none" w:sz="0" w:space="0" w:color="auto"/>
      </w:divBdr>
    </w:div>
    <w:div w:id="1533685342">
      <w:bodyDiv w:val="1"/>
      <w:marLeft w:val="0"/>
      <w:marRight w:val="0"/>
      <w:marTop w:val="0"/>
      <w:marBottom w:val="0"/>
      <w:divBdr>
        <w:top w:val="none" w:sz="0" w:space="0" w:color="auto"/>
        <w:left w:val="none" w:sz="0" w:space="0" w:color="auto"/>
        <w:bottom w:val="none" w:sz="0" w:space="0" w:color="auto"/>
        <w:right w:val="none" w:sz="0" w:space="0" w:color="auto"/>
      </w:divBdr>
    </w:div>
    <w:div w:id="1533807540">
      <w:bodyDiv w:val="1"/>
      <w:marLeft w:val="0"/>
      <w:marRight w:val="0"/>
      <w:marTop w:val="0"/>
      <w:marBottom w:val="0"/>
      <w:divBdr>
        <w:top w:val="none" w:sz="0" w:space="0" w:color="auto"/>
        <w:left w:val="none" w:sz="0" w:space="0" w:color="auto"/>
        <w:bottom w:val="none" w:sz="0" w:space="0" w:color="auto"/>
        <w:right w:val="none" w:sz="0" w:space="0" w:color="auto"/>
      </w:divBdr>
    </w:div>
    <w:div w:id="1535339802">
      <w:bodyDiv w:val="1"/>
      <w:marLeft w:val="0"/>
      <w:marRight w:val="0"/>
      <w:marTop w:val="0"/>
      <w:marBottom w:val="0"/>
      <w:divBdr>
        <w:top w:val="none" w:sz="0" w:space="0" w:color="auto"/>
        <w:left w:val="none" w:sz="0" w:space="0" w:color="auto"/>
        <w:bottom w:val="none" w:sz="0" w:space="0" w:color="auto"/>
        <w:right w:val="none" w:sz="0" w:space="0" w:color="auto"/>
      </w:divBdr>
    </w:div>
    <w:div w:id="1536573752">
      <w:bodyDiv w:val="1"/>
      <w:marLeft w:val="0"/>
      <w:marRight w:val="0"/>
      <w:marTop w:val="0"/>
      <w:marBottom w:val="0"/>
      <w:divBdr>
        <w:top w:val="none" w:sz="0" w:space="0" w:color="auto"/>
        <w:left w:val="none" w:sz="0" w:space="0" w:color="auto"/>
        <w:bottom w:val="none" w:sz="0" w:space="0" w:color="auto"/>
        <w:right w:val="none" w:sz="0" w:space="0" w:color="auto"/>
      </w:divBdr>
    </w:div>
    <w:div w:id="1537890260">
      <w:bodyDiv w:val="1"/>
      <w:marLeft w:val="0"/>
      <w:marRight w:val="0"/>
      <w:marTop w:val="0"/>
      <w:marBottom w:val="0"/>
      <w:divBdr>
        <w:top w:val="none" w:sz="0" w:space="0" w:color="auto"/>
        <w:left w:val="none" w:sz="0" w:space="0" w:color="auto"/>
        <w:bottom w:val="none" w:sz="0" w:space="0" w:color="auto"/>
        <w:right w:val="none" w:sz="0" w:space="0" w:color="auto"/>
      </w:divBdr>
    </w:div>
    <w:div w:id="1549562403">
      <w:bodyDiv w:val="1"/>
      <w:marLeft w:val="0"/>
      <w:marRight w:val="0"/>
      <w:marTop w:val="0"/>
      <w:marBottom w:val="0"/>
      <w:divBdr>
        <w:top w:val="none" w:sz="0" w:space="0" w:color="auto"/>
        <w:left w:val="none" w:sz="0" w:space="0" w:color="auto"/>
        <w:bottom w:val="none" w:sz="0" w:space="0" w:color="auto"/>
        <w:right w:val="none" w:sz="0" w:space="0" w:color="auto"/>
      </w:divBdr>
    </w:div>
    <w:div w:id="1557430269">
      <w:bodyDiv w:val="1"/>
      <w:marLeft w:val="0"/>
      <w:marRight w:val="0"/>
      <w:marTop w:val="0"/>
      <w:marBottom w:val="0"/>
      <w:divBdr>
        <w:top w:val="none" w:sz="0" w:space="0" w:color="auto"/>
        <w:left w:val="none" w:sz="0" w:space="0" w:color="auto"/>
        <w:bottom w:val="none" w:sz="0" w:space="0" w:color="auto"/>
        <w:right w:val="none" w:sz="0" w:space="0" w:color="auto"/>
      </w:divBdr>
    </w:div>
    <w:div w:id="1557815881">
      <w:bodyDiv w:val="1"/>
      <w:marLeft w:val="0"/>
      <w:marRight w:val="0"/>
      <w:marTop w:val="0"/>
      <w:marBottom w:val="0"/>
      <w:divBdr>
        <w:top w:val="none" w:sz="0" w:space="0" w:color="auto"/>
        <w:left w:val="none" w:sz="0" w:space="0" w:color="auto"/>
        <w:bottom w:val="none" w:sz="0" w:space="0" w:color="auto"/>
        <w:right w:val="none" w:sz="0" w:space="0" w:color="auto"/>
      </w:divBdr>
    </w:div>
    <w:div w:id="1564021826">
      <w:bodyDiv w:val="1"/>
      <w:marLeft w:val="0"/>
      <w:marRight w:val="0"/>
      <w:marTop w:val="0"/>
      <w:marBottom w:val="0"/>
      <w:divBdr>
        <w:top w:val="none" w:sz="0" w:space="0" w:color="auto"/>
        <w:left w:val="none" w:sz="0" w:space="0" w:color="auto"/>
        <w:bottom w:val="none" w:sz="0" w:space="0" w:color="auto"/>
        <w:right w:val="none" w:sz="0" w:space="0" w:color="auto"/>
      </w:divBdr>
    </w:div>
    <w:div w:id="1567952809">
      <w:bodyDiv w:val="1"/>
      <w:marLeft w:val="0"/>
      <w:marRight w:val="0"/>
      <w:marTop w:val="0"/>
      <w:marBottom w:val="0"/>
      <w:divBdr>
        <w:top w:val="none" w:sz="0" w:space="0" w:color="auto"/>
        <w:left w:val="none" w:sz="0" w:space="0" w:color="auto"/>
        <w:bottom w:val="none" w:sz="0" w:space="0" w:color="auto"/>
        <w:right w:val="none" w:sz="0" w:space="0" w:color="auto"/>
      </w:divBdr>
    </w:div>
    <w:div w:id="1571690157">
      <w:bodyDiv w:val="1"/>
      <w:marLeft w:val="0"/>
      <w:marRight w:val="0"/>
      <w:marTop w:val="0"/>
      <w:marBottom w:val="0"/>
      <w:divBdr>
        <w:top w:val="none" w:sz="0" w:space="0" w:color="auto"/>
        <w:left w:val="none" w:sz="0" w:space="0" w:color="auto"/>
        <w:bottom w:val="none" w:sz="0" w:space="0" w:color="auto"/>
        <w:right w:val="none" w:sz="0" w:space="0" w:color="auto"/>
      </w:divBdr>
    </w:div>
    <w:div w:id="1572155905">
      <w:bodyDiv w:val="1"/>
      <w:marLeft w:val="0"/>
      <w:marRight w:val="0"/>
      <w:marTop w:val="0"/>
      <w:marBottom w:val="0"/>
      <w:divBdr>
        <w:top w:val="none" w:sz="0" w:space="0" w:color="auto"/>
        <w:left w:val="none" w:sz="0" w:space="0" w:color="auto"/>
        <w:bottom w:val="none" w:sz="0" w:space="0" w:color="auto"/>
        <w:right w:val="none" w:sz="0" w:space="0" w:color="auto"/>
      </w:divBdr>
    </w:div>
    <w:div w:id="1573273982">
      <w:bodyDiv w:val="1"/>
      <w:marLeft w:val="0"/>
      <w:marRight w:val="0"/>
      <w:marTop w:val="0"/>
      <w:marBottom w:val="0"/>
      <w:divBdr>
        <w:top w:val="none" w:sz="0" w:space="0" w:color="auto"/>
        <w:left w:val="none" w:sz="0" w:space="0" w:color="auto"/>
        <w:bottom w:val="none" w:sz="0" w:space="0" w:color="auto"/>
        <w:right w:val="none" w:sz="0" w:space="0" w:color="auto"/>
      </w:divBdr>
    </w:div>
    <w:div w:id="1575623552">
      <w:bodyDiv w:val="1"/>
      <w:marLeft w:val="0"/>
      <w:marRight w:val="0"/>
      <w:marTop w:val="0"/>
      <w:marBottom w:val="0"/>
      <w:divBdr>
        <w:top w:val="none" w:sz="0" w:space="0" w:color="auto"/>
        <w:left w:val="none" w:sz="0" w:space="0" w:color="auto"/>
        <w:bottom w:val="none" w:sz="0" w:space="0" w:color="auto"/>
        <w:right w:val="none" w:sz="0" w:space="0" w:color="auto"/>
      </w:divBdr>
    </w:div>
    <w:div w:id="1581014208">
      <w:bodyDiv w:val="1"/>
      <w:marLeft w:val="0"/>
      <w:marRight w:val="0"/>
      <w:marTop w:val="0"/>
      <w:marBottom w:val="0"/>
      <w:divBdr>
        <w:top w:val="none" w:sz="0" w:space="0" w:color="auto"/>
        <w:left w:val="none" w:sz="0" w:space="0" w:color="auto"/>
        <w:bottom w:val="none" w:sz="0" w:space="0" w:color="auto"/>
        <w:right w:val="none" w:sz="0" w:space="0" w:color="auto"/>
      </w:divBdr>
    </w:div>
    <w:div w:id="1600866806">
      <w:bodyDiv w:val="1"/>
      <w:marLeft w:val="0"/>
      <w:marRight w:val="0"/>
      <w:marTop w:val="0"/>
      <w:marBottom w:val="0"/>
      <w:divBdr>
        <w:top w:val="none" w:sz="0" w:space="0" w:color="auto"/>
        <w:left w:val="none" w:sz="0" w:space="0" w:color="auto"/>
        <w:bottom w:val="none" w:sz="0" w:space="0" w:color="auto"/>
        <w:right w:val="none" w:sz="0" w:space="0" w:color="auto"/>
      </w:divBdr>
    </w:div>
    <w:div w:id="1602103634">
      <w:bodyDiv w:val="1"/>
      <w:marLeft w:val="0"/>
      <w:marRight w:val="0"/>
      <w:marTop w:val="0"/>
      <w:marBottom w:val="0"/>
      <w:divBdr>
        <w:top w:val="none" w:sz="0" w:space="0" w:color="auto"/>
        <w:left w:val="none" w:sz="0" w:space="0" w:color="auto"/>
        <w:bottom w:val="none" w:sz="0" w:space="0" w:color="auto"/>
        <w:right w:val="none" w:sz="0" w:space="0" w:color="auto"/>
      </w:divBdr>
    </w:div>
    <w:div w:id="1611620499">
      <w:bodyDiv w:val="1"/>
      <w:marLeft w:val="0"/>
      <w:marRight w:val="0"/>
      <w:marTop w:val="0"/>
      <w:marBottom w:val="0"/>
      <w:divBdr>
        <w:top w:val="none" w:sz="0" w:space="0" w:color="auto"/>
        <w:left w:val="none" w:sz="0" w:space="0" w:color="auto"/>
        <w:bottom w:val="none" w:sz="0" w:space="0" w:color="auto"/>
        <w:right w:val="none" w:sz="0" w:space="0" w:color="auto"/>
      </w:divBdr>
    </w:div>
    <w:div w:id="1614363364">
      <w:bodyDiv w:val="1"/>
      <w:marLeft w:val="0"/>
      <w:marRight w:val="0"/>
      <w:marTop w:val="0"/>
      <w:marBottom w:val="0"/>
      <w:divBdr>
        <w:top w:val="none" w:sz="0" w:space="0" w:color="auto"/>
        <w:left w:val="none" w:sz="0" w:space="0" w:color="auto"/>
        <w:bottom w:val="none" w:sz="0" w:space="0" w:color="auto"/>
        <w:right w:val="none" w:sz="0" w:space="0" w:color="auto"/>
      </w:divBdr>
    </w:div>
    <w:div w:id="1620525912">
      <w:bodyDiv w:val="1"/>
      <w:marLeft w:val="0"/>
      <w:marRight w:val="0"/>
      <w:marTop w:val="0"/>
      <w:marBottom w:val="0"/>
      <w:divBdr>
        <w:top w:val="none" w:sz="0" w:space="0" w:color="auto"/>
        <w:left w:val="none" w:sz="0" w:space="0" w:color="auto"/>
        <w:bottom w:val="none" w:sz="0" w:space="0" w:color="auto"/>
        <w:right w:val="none" w:sz="0" w:space="0" w:color="auto"/>
      </w:divBdr>
    </w:div>
    <w:div w:id="1621257302">
      <w:bodyDiv w:val="1"/>
      <w:marLeft w:val="0"/>
      <w:marRight w:val="0"/>
      <w:marTop w:val="0"/>
      <w:marBottom w:val="0"/>
      <w:divBdr>
        <w:top w:val="none" w:sz="0" w:space="0" w:color="auto"/>
        <w:left w:val="none" w:sz="0" w:space="0" w:color="auto"/>
        <w:bottom w:val="none" w:sz="0" w:space="0" w:color="auto"/>
        <w:right w:val="none" w:sz="0" w:space="0" w:color="auto"/>
      </w:divBdr>
    </w:div>
    <w:div w:id="1627929182">
      <w:bodyDiv w:val="1"/>
      <w:marLeft w:val="0"/>
      <w:marRight w:val="0"/>
      <w:marTop w:val="0"/>
      <w:marBottom w:val="0"/>
      <w:divBdr>
        <w:top w:val="none" w:sz="0" w:space="0" w:color="auto"/>
        <w:left w:val="none" w:sz="0" w:space="0" w:color="auto"/>
        <w:bottom w:val="none" w:sz="0" w:space="0" w:color="auto"/>
        <w:right w:val="none" w:sz="0" w:space="0" w:color="auto"/>
      </w:divBdr>
    </w:div>
    <w:div w:id="1628000922">
      <w:bodyDiv w:val="1"/>
      <w:marLeft w:val="0"/>
      <w:marRight w:val="0"/>
      <w:marTop w:val="0"/>
      <w:marBottom w:val="0"/>
      <w:divBdr>
        <w:top w:val="none" w:sz="0" w:space="0" w:color="auto"/>
        <w:left w:val="none" w:sz="0" w:space="0" w:color="auto"/>
        <w:bottom w:val="none" w:sz="0" w:space="0" w:color="auto"/>
        <w:right w:val="none" w:sz="0" w:space="0" w:color="auto"/>
      </w:divBdr>
    </w:div>
    <w:div w:id="1632049662">
      <w:bodyDiv w:val="1"/>
      <w:marLeft w:val="0"/>
      <w:marRight w:val="0"/>
      <w:marTop w:val="0"/>
      <w:marBottom w:val="0"/>
      <w:divBdr>
        <w:top w:val="none" w:sz="0" w:space="0" w:color="auto"/>
        <w:left w:val="none" w:sz="0" w:space="0" w:color="auto"/>
        <w:bottom w:val="none" w:sz="0" w:space="0" w:color="auto"/>
        <w:right w:val="none" w:sz="0" w:space="0" w:color="auto"/>
      </w:divBdr>
    </w:div>
    <w:div w:id="1638608149">
      <w:bodyDiv w:val="1"/>
      <w:marLeft w:val="0"/>
      <w:marRight w:val="0"/>
      <w:marTop w:val="0"/>
      <w:marBottom w:val="0"/>
      <w:divBdr>
        <w:top w:val="none" w:sz="0" w:space="0" w:color="auto"/>
        <w:left w:val="none" w:sz="0" w:space="0" w:color="auto"/>
        <w:bottom w:val="none" w:sz="0" w:space="0" w:color="auto"/>
        <w:right w:val="none" w:sz="0" w:space="0" w:color="auto"/>
      </w:divBdr>
    </w:div>
    <w:div w:id="1644652663">
      <w:bodyDiv w:val="1"/>
      <w:marLeft w:val="0"/>
      <w:marRight w:val="0"/>
      <w:marTop w:val="0"/>
      <w:marBottom w:val="0"/>
      <w:divBdr>
        <w:top w:val="none" w:sz="0" w:space="0" w:color="auto"/>
        <w:left w:val="none" w:sz="0" w:space="0" w:color="auto"/>
        <w:bottom w:val="none" w:sz="0" w:space="0" w:color="auto"/>
        <w:right w:val="none" w:sz="0" w:space="0" w:color="auto"/>
      </w:divBdr>
    </w:div>
    <w:div w:id="1646427654">
      <w:bodyDiv w:val="1"/>
      <w:marLeft w:val="0"/>
      <w:marRight w:val="0"/>
      <w:marTop w:val="0"/>
      <w:marBottom w:val="0"/>
      <w:divBdr>
        <w:top w:val="none" w:sz="0" w:space="0" w:color="auto"/>
        <w:left w:val="none" w:sz="0" w:space="0" w:color="auto"/>
        <w:bottom w:val="none" w:sz="0" w:space="0" w:color="auto"/>
        <w:right w:val="none" w:sz="0" w:space="0" w:color="auto"/>
      </w:divBdr>
    </w:div>
    <w:div w:id="1649363913">
      <w:bodyDiv w:val="1"/>
      <w:marLeft w:val="0"/>
      <w:marRight w:val="0"/>
      <w:marTop w:val="0"/>
      <w:marBottom w:val="0"/>
      <w:divBdr>
        <w:top w:val="none" w:sz="0" w:space="0" w:color="auto"/>
        <w:left w:val="none" w:sz="0" w:space="0" w:color="auto"/>
        <w:bottom w:val="none" w:sz="0" w:space="0" w:color="auto"/>
        <w:right w:val="none" w:sz="0" w:space="0" w:color="auto"/>
      </w:divBdr>
    </w:div>
    <w:div w:id="1649893131">
      <w:bodyDiv w:val="1"/>
      <w:marLeft w:val="0"/>
      <w:marRight w:val="0"/>
      <w:marTop w:val="0"/>
      <w:marBottom w:val="0"/>
      <w:divBdr>
        <w:top w:val="none" w:sz="0" w:space="0" w:color="auto"/>
        <w:left w:val="none" w:sz="0" w:space="0" w:color="auto"/>
        <w:bottom w:val="none" w:sz="0" w:space="0" w:color="auto"/>
        <w:right w:val="none" w:sz="0" w:space="0" w:color="auto"/>
      </w:divBdr>
    </w:div>
    <w:div w:id="1650791348">
      <w:bodyDiv w:val="1"/>
      <w:marLeft w:val="0"/>
      <w:marRight w:val="0"/>
      <w:marTop w:val="0"/>
      <w:marBottom w:val="0"/>
      <w:divBdr>
        <w:top w:val="none" w:sz="0" w:space="0" w:color="auto"/>
        <w:left w:val="none" w:sz="0" w:space="0" w:color="auto"/>
        <w:bottom w:val="none" w:sz="0" w:space="0" w:color="auto"/>
        <w:right w:val="none" w:sz="0" w:space="0" w:color="auto"/>
      </w:divBdr>
    </w:div>
    <w:div w:id="1651860981">
      <w:bodyDiv w:val="1"/>
      <w:marLeft w:val="0"/>
      <w:marRight w:val="0"/>
      <w:marTop w:val="0"/>
      <w:marBottom w:val="0"/>
      <w:divBdr>
        <w:top w:val="none" w:sz="0" w:space="0" w:color="auto"/>
        <w:left w:val="none" w:sz="0" w:space="0" w:color="auto"/>
        <w:bottom w:val="none" w:sz="0" w:space="0" w:color="auto"/>
        <w:right w:val="none" w:sz="0" w:space="0" w:color="auto"/>
      </w:divBdr>
    </w:div>
    <w:div w:id="1651866135">
      <w:bodyDiv w:val="1"/>
      <w:marLeft w:val="0"/>
      <w:marRight w:val="0"/>
      <w:marTop w:val="0"/>
      <w:marBottom w:val="0"/>
      <w:divBdr>
        <w:top w:val="none" w:sz="0" w:space="0" w:color="auto"/>
        <w:left w:val="none" w:sz="0" w:space="0" w:color="auto"/>
        <w:bottom w:val="none" w:sz="0" w:space="0" w:color="auto"/>
        <w:right w:val="none" w:sz="0" w:space="0" w:color="auto"/>
      </w:divBdr>
    </w:div>
    <w:div w:id="1655141299">
      <w:bodyDiv w:val="1"/>
      <w:marLeft w:val="0"/>
      <w:marRight w:val="0"/>
      <w:marTop w:val="0"/>
      <w:marBottom w:val="0"/>
      <w:divBdr>
        <w:top w:val="none" w:sz="0" w:space="0" w:color="auto"/>
        <w:left w:val="none" w:sz="0" w:space="0" w:color="auto"/>
        <w:bottom w:val="none" w:sz="0" w:space="0" w:color="auto"/>
        <w:right w:val="none" w:sz="0" w:space="0" w:color="auto"/>
      </w:divBdr>
    </w:div>
    <w:div w:id="1662849794">
      <w:bodyDiv w:val="1"/>
      <w:marLeft w:val="0"/>
      <w:marRight w:val="0"/>
      <w:marTop w:val="0"/>
      <w:marBottom w:val="0"/>
      <w:divBdr>
        <w:top w:val="none" w:sz="0" w:space="0" w:color="auto"/>
        <w:left w:val="none" w:sz="0" w:space="0" w:color="auto"/>
        <w:bottom w:val="none" w:sz="0" w:space="0" w:color="auto"/>
        <w:right w:val="none" w:sz="0" w:space="0" w:color="auto"/>
      </w:divBdr>
    </w:div>
    <w:div w:id="1663389121">
      <w:bodyDiv w:val="1"/>
      <w:marLeft w:val="0"/>
      <w:marRight w:val="0"/>
      <w:marTop w:val="0"/>
      <w:marBottom w:val="0"/>
      <w:divBdr>
        <w:top w:val="none" w:sz="0" w:space="0" w:color="auto"/>
        <w:left w:val="none" w:sz="0" w:space="0" w:color="auto"/>
        <w:bottom w:val="none" w:sz="0" w:space="0" w:color="auto"/>
        <w:right w:val="none" w:sz="0" w:space="0" w:color="auto"/>
      </w:divBdr>
    </w:div>
    <w:div w:id="1665548951">
      <w:bodyDiv w:val="1"/>
      <w:marLeft w:val="0"/>
      <w:marRight w:val="0"/>
      <w:marTop w:val="0"/>
      <w:marBottom w:val="0"/>
      <w:divBdr>
        <w:top w:val="none" w:sz="0" w:space="0" w:color="auto"/>
        <w:left w:val="none" w:sz="0" w:space="0" w:color="auto"/>
        <w:bottom w:val="none" w:sz="0" w:space="0" w:color="auto"/>
        <w:right w:val="none" w:sz="0" w:space="0" w:color="auto"/>
      </w:divBdr>
    </w:div>
    <w:div w:id="1667514023">
      <w:bodyDiv w:val="1"/>
      <w:marLeft w:val="0"/>
      <w:marRight w:val="0"/>
      <w:marTop w:val="0"/>
      <w:marBottom w:val="0"/>
      <w:divBdr>
        <w:top w:val="none" w:sz="0" w:space="0" w:color="auto"/>
        <w:left w:val="none" w:sz="0" w:space="0" w:color="auto"/>
        <w:bottom w:val="none" w:sz="0" w:space="0" w:color="auto"/>
        <w:right w:val="none" w:sz="0" w:space="0" w:color="auto"/>
      </w:divBdr>
    </w:div>
    <w:div w:id="1671982604">
      <w:bodyDiv w:val="1"/>
      <w:marLeft w:val="0"/>
      <w:marRight w:val="0"/>
      <w:marTop w:val="0"/>
      <w:marBottom w:val="0"/>
      <w:divBdr>
        <w:top w:val="none" w:sz="0" w:space="0" w:color="auto"/>
        <w:left w:val="none" w:sz="0" w:space="0" w:color="auto"/>
        <w:bottom w:val="none" w:sz="0" w:space="0" w:color="auto"/>
        <w:right w:val="none" w:sz="0" w:space="0" w:color="auto"/>
      </w:divBdr>
    </w:div>
    <w:div w:id="1672641487">
      <w:bodyDiv w:val="1"/>
      <w:marLeft w:val="0"/>
      <w:marRight w:val="0"/>
      <w:marTop w:val="0"/>
      <w:marBottom w:val="0"/>
      <w:divBdr>
        <w:top w:val="none" w:sz="0" w:space="0" w:color="auto"/>
        <w:left w:val="none" w:sz="0" w:space="0" w:color="auto"/>
        <w:bottom w:val="none" w:sz="0" w:space="0" w:color="auto"/>
        <w:right w:val="none" w:sz="0" w:space="0" w:color="auto"/>
      </w:divBdr>
    </w:div>
    <w:div w:id="1674185557">
      <w:bodyDiv w:val="1"/>
      <w:marLeft w:val="0"/>
      <w:marRight w:val="0"/>
      <w:marTop w:val="0"/>
      <w:marBottom w:val="0"/>
      <w:divBdr>
        <w:top w:val="none" w:sz="0" w:space="0" w:color="auto"/>
        <w:left w:val="none" w:sz="0" w:space="0" w:color="auto"/>
        <w:bottom w:val="none" w:sz="0" w:space="0" w:color="auto"/>
        <w:right w:val="none" w:sz="0" w:space="0" w:color="auto"/>
      </w:divBdr>
    </w:div>
    <w:div w:id="1680616892">
      <w:bodyDiv w:val="1"/>
      <w:marLeft w:val="0"/>
      <w:marRight w:val="0"/>
      <w:marTop w:val="0"/>
      <w:marBottom w:val="0"/>
      <w:divBdr>
        <w:top w:val="none" w:sz="0" w:space="0" w:color="auto"/>
        <w:left w:val="none" w:sz="0" w:space="0" w:color="auto"/>
        <w:bottom w:val="none" w:sz="0" w:space="0" w:color="auto"/>
        <w:right w:val="none" w:sz="0" w:space="0" w:color="auto"/>
      </w:divBdr>
    </w:div>
    <w:div w:id="1682584951">
      <w:bodyDiv w:val="1"/>
      <w:marLeft w:val="0"/>
      <w:marRight w:val="0"/>
      <w:marTop w:val="0"/>
      <w:marBottom w:val="0"/>
      <w:divBdr>
        <w:top w:val="none" w:sz="0" w:space="0" w:color="auto"/>
        <w:left w:val="none" w:sz="0" w:space="0" w:color="auto"/>
        <w:bottom w:val="none" w:sz="0" w:space="0" w:color="auto"/>
        <w:right w:val="none" w:sz="0" w:space="0" w:color="auto"/>
      </w:divBdr>
    </w:div>
    <w:div w:id="1684086031">
      <w:bodyDiv w:val="1"/>
      <w:marLeft w:val="0"/>
      <w:marRight w:val="0"/>
      <w:marTop w:val="0"/>
      <w:marBottom w:val="0"/>
      <w:divBdr>
        <w:top w:val="none" w:sz="0" w:space="0" w:color="auto"/>
        <w:left w:val="none" w:sz="0" w:space="0" w:color="auto"/>
        <w:bottom w:val="none" w:sz="0" w:space="0" w:color="auto"/>
        <w:right w:val="none" w:sz="0" w:space="0" w:color="auto"/>
      </w:divBdr>
    </w:div>
    <w:div w:id="1684433255">
      <w:bodyDiv w:val="1"/>
      <w:marLeft w:val="0"/>
      <w:marRight w:val="0"/>
      <w:marTop w:val="0"/>
      <w:marBottom w:val="0"/>
      <w:divBdr>
        <w:top w:val="none" w:sz="0" w:space="0" w:color="auto"/>
        <w:left w:val="none" w:sz="0" w:space="0" w:color="auto"/>
        <w:bottom w:val="none" w:sz="0" w:space="0" w:color="auto"/>
        <w:right w:val="none" w:sz="0" w:space="0" w:color="auto"/>
      </w:divBdr>
    </w:div>
    <w:div w:id="1685982587">
      <w:bodyDiv w:val="1"/>
      <w:marLeft w:val="0"/>
      <w:marRight w:val="0"/>
      <w:marTop w:val="0"/>
      <w:marBottom w:val="0"/>
      <w:divBdr>
        <w:top w:val="none" w:sz="0" w:space="0" w:color="auto"/>
        <w:left w:val="none" w:sz="0" w:space="0" w:color="auto"/>
        <w:bottom w:val="none" w:sz="0" w:space="0" w:color="auto"/>
        <w:right w:val="none" w:sz="0" w:space="0" w:color="auto"/>
      </w:divBdr>
    </w:div>
    <w:div w:id="1688167313">
      <w:bodyDiv w:val="1"/>
      <w:marLeft w:val="0"/>
      <w:marRight w:val="0"/>
      <w:marTop w:val="0"/>
      <w:marBottom w:val="0"/>
      <w:divBdr>
        <w:top w:val="none" w:sz="0" w:space="0" w:color="auto"/>
        <w:left w:val="none" w:sz="0" w:space="0" w:color="auto"/>
        <w:bottom w:val="none" w:sz="0" w:space="0" w:color="auto"/>
        <w:right w:val="none" w:sz="0" w:space="0" w:color="auto"/>
      </w:divBdr>
    </w:div>
    <w:div w:id="1692300345">
      <w:bodyDiv w:val="1"/>
      <w:marLeft w:val="0"/>
      <w:marRight w:val="0"/>
      <w:marTop w:val="0"/>
      <w:marBottom w:val="0"/>
      <w:divBdr>
        <w:top w:val="none" w:sz="0" w:space="0" w:color="auto"/>
        <w:left w:val="none" w:sz="0" w:space="0" w:color="auto"/>
        <w:bottom w:val="none" w:sz="0" w:space="0" w:color="auto"/>
        <w:right w:val="none" w:sz="0" w:space="0" w:color="auto"/>
      </w:divBdr>
    </w:div>
    <w:div w:id="1693267257">
      <w:bodyDiv w:val="1"/>
      <w:marLeft w:val="0"/>
      <w:marRight w:val="0"/>
      <w:marTop w:val="0"/>
      <w:marBottom w:val="0"/>
      <w:divBdr>
        <w:top w:val="none" w:sz="0" w:space="0" w:color="auto"/>
        <w:left w:val="none" w:sz="0" w:space="0" w:color="auto"/>
        <w:bottom w:val="none" w:sz="0" w:space="0" w:color="auto"/>
        <w:right w:val="none" w:sz="0" w:space="0" w:color="auto"/>
      </w:divBdr>
    </w:div>
    <w:div w:id="1696955013">
      <w:bodyDiv w:val="1"/>
      <w:marLeft w:val="0"/>
      <w:marRight w:val="0"/>
      <w:marTop w:val="0"/>
      <w:marBottom w:val="0"/>
      <w:divBdr>
        <w:top w:val="none" w:sz="0" w:space="0" w:color="auto"/>
        <w:left w:val="none" w:sz="0" w:space="0" w:color="auto"/>
        <w:bottom w:val="none" w:sz="0" w:space="0" w:color="auto"/>
        <w:right w:val="none" w:sz="0" w:space="0" w:color="auto"/>
      </w:divBdr>
    </w:div>
    <w:div w:id="1698500909">
      <w:bodyDiv w:val="1"/>
      <w:marLeft w:val="0"/>
      <w:marRight w:val="0"/>
      <w:marTop w:val="0"/>
      <w:marBottom w:val="0"/>
      <w:divBdr>
        <w:top w:val="none" w:sz="0" w:space="0" w:color="auto"/>
        <w:left w:val="none" w:sz="0" w:space="0" w:color="auto"/>
        <w:bottom w:val="none" w:sz="0" w:space="0" w:color="auto"/>
        <w:right w:val="none" w:sz="0" w:space="0" w:color="auto"/>
      </w:divBdr>
    </w:div>
    <w:div w:id="1703942430">
      <w:bodyDiv w:val="1"/>
      <w:marLeft w:val="0"/>
      <w:marRight w:val="0"/>
      <w:marTop w:val="0"/>
      <w:marBottom w:val="0"/>
      <w:divBdr>
        <w:top w:val="none" w:sz="0" w:space="0" w:color="auto"/>
        <w:left w:val="none" w:sz="0" w:space="0" w:color="auto"/>
        <w:bottom w:val="none" w:sz="0" w:space="0" w:color="auto"/>
        <w:right w:val="none" w:sz="0" w:space="0" w:color="auto"/>
      </w:divBdr>
    </w:div>
    <w:div w:id="1704592614">
      <w:bodyDiv w:val="1"/>
      <w:marLeft w:val="0"/>
      <w:marRight w:val="0"/>
      <w:marTop w:val="0"/>
      <w:marBottom w:val="0"/>
      <w:divBdr>
        <w:top w:val="none" w:sz="0" w:space="0" w:color="auto"/>
        <w:left w:val="none" w:sz="0" w:space="0" w:color="auto"/>
        <w:bottom w:val="none" w:sz="0" w:space="0" w:color="auto"/>
        <w:right w:val="none" w:sz="0" w:space="0" w:color="auto"/>
      </w:divBdr>
    </w:div>
    <w:div w:id="1705012622">
      <w:bodyDiv w:val="1"/>
      <w:marLeft w:val="0"/>
      <w:marRight w:val="0"/>
      <w:marTop w:val="0"/>
      <w:marBottom w:val="0"/>
      <w:divBdr>
        <w:top w:val="none" w:sz="0" w:space="0" w:color="auto"/>
        <w:left w:val="none" w:sz="0" w:space="0" w:color="auto"/>
        <w:bottom w:val="none" w:sz="0" w:space="0" w:color="auto"/>
        <w:right w:val="none" w:sz="0" w:space="0" w:color="auto"/>
      </w:divBdr>
    </w:div>
    <w:div w:id="1706130526">
      <w:bodyDiv w:val="1"/>
      <w:marLeft w:val="0"/>
      <w:marRight w:val="0"/>
      <w:marTop w:val="0"/>
      <w:marBottom w:val="0"/>
      <w:divBdr>
        <w:top w:val="none" w:sz="0" w:space="0" w:color="auto"/>
        <w:left w:val="none" w:sz="0" w:space="0" w:color="auto"/>
        <w:bottom w:val="none" w:sz="0" w:space="0" w:color="auto"/>
        <w:right w:val="none" w:sz="0" w:space="0" w:color="auto"/>
      </w:divBdr>
    </w:div>
    <w:div w:id="1713268680">
      <w:bodyDiv w:val="1"/>
      <w:marLeft w:val="0"/>
      <w:marRight w:val="0"/>
      <w:marTop w:val="0"/>
      <w:marBottom w:val="0"/>
      <w:divBdr>
        <w:top w:val="none" w:sz="0" w:space="0" w:color="auto"/>
        <w:left w:val="none" w:sz="0" w:space="0" w:color="auto"/>
        <w:bottom w:val="none" w:sz="0" w:space="0" w:color="auto"/>
        <w:right w:val="none" w:sz="0" w:space="0" w:color="auto"/>
      </w:divBdr>
    </w:div>
    <w:div w:id="1717004662">
      <w:bodyDiv w:val="1"/>
      <w:marLeft w:val="0"/>
      <w:marRight w:val="0"/>
      <w:marTop w:val="0"/>
      <w:marBottom w:val="0"/>
      <w:divBdr>
        <w:top w:val="none" w:sz="0" w:space="0" w:color="auto"/>
        <w:left w:val="none" w:sz="0" w:space="0" w:color="auto"/>
        <w:bottom w:val="none" w:sz="0" w:space="0" w:color="auto"/>
        <w:right w:val="none" w:sz="0" w:space="0" w:color="auto"/>
      </w:divBdr>
    </w:div>
    <w:div w:id="1718891430">
      <w:bodyDiv w:val="1"/>
      <w:marLeft w:val="0"/>
      <w:marRight w:val="0"/>
      <w:marTop w:val="0"/>
      <w:marBottom w:val="0"/>
      <w:divBdr>
        <w:top w:val="none" w:sz="0" w:space="0" w:color="auto"/>
        <w:left w:val="none" w:sz="0" w:space="0" w:color="auto"/>
        <w:bottom w:val="none" w:sz="0" w:space="0" w:color="auto"/>
        <w:right w:val="none" w:sz="0" w:space="0" w:color="auto"/>
      </w:divBdr>
    </w:div>
    <w:div w:id="1725057688">
      <w:bodyDiv w:val="1"/>
      <w:marLeft w:val="0"/>
      <w:marRight w:val="0"/>
      <w:marTop w:val="0"/>
      <w:marBottom w:val="0"/>
      <w:divBdr>
        <w:top w:val="none" w:sz="0" w:space="0" w:color="auto"/>
        <w:left w:val="none" w:sz="0" w:space="0" w:color="auto"/>
        <w:bottom w:val="none" w:sz="0" w:space="0" w:color="auto"/>
        <w:right w:val="none" w:sz="0" w:space="0" w:color="auto"/>
      </w:divBdr>
    </w:div>
    <w:div w:id="1728258135">
      <w:bodyDiv w:val="1"/>
      <w:marLeft w:val="0"/>
      <w:marRight w:val="0"/>
      <w:marTop w:val="0"/>
      <w:marBottom w:val="0"/>
      <w:divBdr>
        <w:top w:val="none" w:sz="0" w:space="0" w:color="auto"/>
        <w:left w:val="none" w:sz="0" w:space="0" w:color="auto"/>
        <w:bottom w:val="none" w:sz="0" w:space="0" w:color="auto"/>
        <w:right w:val="none" w:sz="0" w:space="0" w:color="auto"/>
      </w:divBdr>
    </w:div>
    <w:div w:id="1734543636">
      <w:bodyDiv w:val="1"/>
      <w:marLeft w:val="0"/>
      <w:marRight w:val="0"/>
      <w:marTop w:val="0"/>
      <w:marBottom w:val="0"/>
      <w:divBdr>
        <w:top w:val="none" w:sz="0" w:space="0" w:color="auto"/>
        <w:left w:val="none" w:sz="0" w:space="0" w:color="auto"/>
        <w:bottom w:val="none" w:sz="0" w:space="0" w:color="auto"/>
        <w:right w:val="none" w:sz="0" w:space="0" w:color="auto"/>
      </w:divBdr>
    </w:div>
    <w:div w:id="1741102061">
      <w:bodyDiv w:val="1"/>
      <w:marLeft w:val="0"/>
      <w:marRight w:val="0"/>
      <w:marTop w:val="0"/>
      <w:marBottom w:val="0"/>
      <w:divBdr>
        <w:top w:val="none" w:sz="0" w:space="0" w:color="auto"/>
        <w:left w:val="none" w:sz="0" w:space="0" w:color="auto"/>
        <w:bottom w:val="none" w:sz="0" w:space="0" w:color="auto"/>
        <w:right w:val="none" w:sz="0" w:space="0" w:color="auto"/>
      </w:divBdr>
    </w:div>
    <w:div w:id="1744185305">
      <w:bodyDiv w:val="1"/>
      <w:marLeft w:val="0"/>
      <w:marRight w:val="0"/>
      <w:marTop w:val="0"/>
      <w:marBottom w:val="0"/>
      <w:divBdr>
        <w:top w:val="none" w:sz="0" w:space="0" w:color="auto"/>
        <w:left w:val="none" w:sz="0" w:space="0" w:color="auto"/>
        <w:bottom w:val="none" w:sz="0" w:space="0" w:color="auto"/>
        <w:right w:val="none" w:sz="0" w:space="0" w:color="auto"/>
      </w:divBdr>
    </w:div>
    <w:div w:id="1746416890">
      <w:bodyDiv w:val="1"/>
      <w:marLeft w:val="0"/>
      <w:marRight w:val="0"/>
      <w:marTop w:val="0"/>
      <w:marBottom w:val="0"/>
      <w:divBdr>
        <w:top w:val="none" w:sz="0" w:space="0" w:color="auto"/>
        <w:left w:val="none" w:sz="0" w:space="0" w:color="auto"/>
        <w:bottom w:val="none" w:sz="0" w:space="0" w:color="auto"/>
        <w:right w:val="none" w:sz="0" w:space="0" w:color="auto"/>
      </w:divBdr>
    </w:div>
    <w:div w:id="1751803266">
      <w:bodyDiv w:val="1"/>
      <w:marLeft w:val="0"/>
      <w:marRight w:val="0"/>
      <w:marTop w:val="0"/>
      <w:marBottom w:val="0"/>
      <w:divBdr>
        <w:top w:val="none" w:sz="0" w:space="0" w:color="auto"/>
        <w:left w:val="none" w:sz="0" w:space="0" w:color="auto"/>
        <w:bottom w:val="none" w:sz="0" w:space="0" w:color="auto"/>
        <w:right w:val="none" w:sz="0" w:space="0" w:color="auto"/>
      </w:divBdr>
    </w:div>
    <w:div w:id="1752116772">
      <w:bodyDiv w:val="1"/>
      <w:marLeft w:val="0"/>
      <w:marRight w:val="0"/>
      <w:marTop w:val="0"/>
      <w:marBottom w:val="0"/>
      <w:divBdr>
        <w:top w:val="none" w:sz="0" w:space="0" w:color="auto"/>
        <w:left w:val="none" w:sz="0" w:space="0" w:color="auto"/>
        <w:bottom w:val="none" w:sz="0" w:space="0" w:color="auto"/>
        <w:right w:val="none" w:sz="0" w:space="0" w:color="auto"/>
      </w:divBdr>
    </w:div>
    <w:div w:id="1754934533">
      <w:bodyDiv w:val="1"/>
      <w:marLeft w:val="0"/>
      <w:marRight w:val="0"/>
      <w:marTop w:val="0"/>
      <w:marBottom w:val="0"/>
      <w:divBdr>
        <w:top w:val="none" w:sz="0" w:space="0" w:color="auto"/>
        <w:left w:val="none" w:sz="0" w:space="0" w:color="auto"/>
        <w:bottom w:val="none" w:sz="0" w:space="0" w:color="auto"/>
        <w:right w:val="none" w:sz="0" w:space="0" w:color="auto"/>
      </w:divBdr>
    </w:div>
    <w:div w:id="1755741317">
      <w:bodyDiv w:val="1"/>
      <w:marLeft w:val="0"/>
      <w:marRight w:val="0"/>
      <w:marTop w:val="0"/>
      <w:marBottom w:val="0"/>
      <w:divBdr>
        <w:top w:val="none" w:sz="0" w:space="0" w:color="auto"/>
        <w:left w:val="none" w:sz="0" w:space="0" w:color="auto"/>
        <w:bottom w:val="none" w:sz="0" w:space="0" w:color="auto"/>
        <w:right w:val="none" w:sz="0" w:space="0" w:color="auto"/>
      </w:divBdr>
    </w:div>
    <w:div w:id="1760370810">
      <w:bodyDiv w:val="1"/>
      <w:marLeft w:val="0"/>
      <w:marRight w:val="0"/>
      <w:marTop w:val="0"/>
      <w:marBottom w:val="0"/>
      <w:divBdr>
        <w:top w:val="none" w:sz="0" w:space="0" w:color="auto"/>
        <w:left w:val="none" w:sz="0" w:space="0" w:color="auto"/>
        <w:bottom w:val="none" w:sz="0" w:space="0" w:color="auto"/>
        <w:right w:val="none" w:sz="0" w:space="0" w:color="auto"/>
      </w:divBdr>
    </w:div>
    <w:div w:id="1760826717">
      <w:bodyDiv w:val="1"/>
      <w:marLeft w:val="0"/>
      <w:marRight w:val="0"/>
      <w:marTop w:val="0"/>
      <w:marBottom w:val="0"/>
      <w:divBdr>
        <w:top w:val="none" w:sz="0" w:space="0" w:color="auto"/>
        <w:left w:val="none" w:sz="0" w:space="0" w:color="auto"/>
        <w:bottom w:val="none" w:sz="0" w:space="0" w:color="auto"/>
        <w:right w:val="none" w:sz="0" w:space="0" w:color="auto"/>
      </w:divBdr>
    </w:div>
    <w:div w:id="1764645209">
      <w:bodyDiv w:val="1"/>
      <w:marLeft w:val="0"/>
      <w:marRight w:val="0"/>
      <w:marTop w:val="0"/>
      <w:marBottom w:val="0"/>
      <w:divBdr>
        <w:top w:val="none" w:sz="0" w:space="0" w:color="auto"/>
        <w:left w:val="none" w:sz="0" w:space="0" w:color="auto"/>
        <w:bottom w:val="none" w:sz="0" w:space="0" w:color="auto"/>
        <w:right w:val="none" w:sz="0" w:space="0" w:color="auto"/>
      </w:divBdr>
    </w:div>
    <w:div w:id="1774931318">
      <w:bodyDiv w:val="1"/>
      <w:marLeft w:val="0"/>
      <w:marRight w:val="0"/>
      <w:marTop w:val="0"/>
      <w:marBottom w:val="0"/>
      <w:divBdr>
        <w:top w:val="none" w:sz="0" w:space="0" w:color="auto"/>
        <w:left w:val="none" w:sz="0" w:space="0" w:color="auto"/>
        <w:bottom w:val="none" w:sz="0" w:space="0" w:color="auto"/>
        <w:right w:val="none" w:sz="0" w:space="0" w:color="auto"/>
      </w:divBdr>
    </w:div>
    <w:div w:id="1778286379">
      <w:bodyDiv w:val="1"/>
      <w:marLeft w:val="0"/>
      <w:marRight w:val="0"/>
      <w:marTop w:val="0"/>
      <w:marBottom w:val="0"/>
      <w:divBdr>
        <w:top w:val="none" w:sz="0" w:space="0" w:color="auto"/>
        <w:left w:val="none" w:sz="0" w:space="0" w:color="auto"/>
        <w:bottom w:val="none" w:sz="0" w:space="0" w:color="auto"/>
        <w:right w:val="none" w:sz="0" w:space="0" w:color="auto"/>
      </w:divBdr>
    </w:div>
    <w:div w:id="1779639031">
      <w:bodyDiv w:val="1"/>
      <w:marLeft w:val="0"/>
      <w:marRight w:val="0"/>
      <w:marTop w:val="0"/>
      <w:marBottom w:val="0"/>
      <w:divBdr>
        <w:top w:val="none" w:sz="0" w:space="0" w:color="auto"/>
        <w:left w:val="none" w:sz="0" w:space="0" w:color="auto"/>
        <w:bottom w:val="none" w:sz="0" w:space="0" w:color="auto"/>
        <w:right w:val="none" w:sz="0" w:space="0" w:color="auto"/>
      </w:divBdr>
    </w:div>
    <w:div w:id="1782412604">
      <w:bodyDiv w:val="1"/>
      <w:marLeft w:val="0"/>
      <w:marRight w:val="0"/>
      <w:marTop w:val="0"/>
      <w:marBottom w:val="0"/>
      <w:divBdr>
        <w:top w:val="none" w:sz="0" w:space="0" w:color="auto"/>
        <w:left w:val="none" w:sz="0" w:space="0" w:color="auto"/>
        <w:bottom w:val="none" w:sz="0" w:space="0" w:color="auto"/>
        <w:right w:val="none" w:sz="0" w:space="0" w:color="auto"/>
      </w:divBdr>
    </w:div>
    <w:div w:id="1797260423">
      <w:bodyDiv w:val="1"/>
      <w:marLeft w:val="0"/>
      <w:marRight w:val="0"/>
      <w:marTop w:val="0"/>
      <w:marBottom w:val="0"/>
      <w:divBdr>
        <w:top w:val="none" w:sz="0" w:space="0" w:color="auto"/>
        <w:left w:val="none" w:sz="0" w:space="0" w:color="auto"/>
        <w:bottom w:val="none" w:sz="0" w:space="0" w:color="auto"/>
        <w:right w:val="none" w:sz="0" w:space="0" w:color="auto"/>
      </w:divBdr>
    </w:div>
    <w:div w:id="1798182777">
      <w:bodyDiv w:val="1"/>
      <w:marLeft w:val="0"/>
      <w:marRight w:val="0"/>
      <w:marTop w:val="0"/>
      <w:marBottom w:val="0"/>
      <w:divBdr>
        <w:top w:val="none" w:sz="0" w:space="0" w:color="auto"/>
        <w:left w:val="none" w:sz="0" w:space="0" w:color="auto"/>
        <w:bottom w:val="none" w:sz="0" w:space="0" w:color="auto"/>
        <w:right w:val="none" w:sz="0" w:space="0" w:color="auto"/>
      </w:divBdr>
    </w:div>
    <w:div w:id="1798253053">
      <w:bodyDiv w:val="1"/>
      <w:marLeft w:val="0"/>
      <w:marRight w:val="0"/>
      <w:marTop w:val="0"/>
      <w:marBottom w:val="0"/>
      <w:divBdr>
        <w:top w:val="none" w:sz="0" w:space="0" w:color="auto"/>
        <w:left w:val="none" w:sz="0" w:space="0" w:color="auto"/>
        <w:bottom w:val="none" w:sz="0" w:space="0" w:color="auto"/>
        <w:right w:val="none" w:sz="0" w:space="0" w:color="auto"/>
      </w:divBdr>
    </w:div>
    <w:div w:id="1798915036">
      <w:bodyDiv w:val="1"/>
      <w:marLeft w:val="0"/>
      <w:marRight w:val="0"/>
      <w:marTop w:val="0"/>
      <w:marBottom w:val="0"/>
      <w:divBdr>
        <w:top w:val="none" w:sz="0" w:space="0" w:color="auto"/>
        <w:left w:val="none" w:sz="0" w:space="0" w:color="auto"/>
        <w:bottom w:val="none" w:sz="0" w:space="0" w:color="auto"/>
        <w:right w:val="none" w:sz="0" w:space="0" w:color="auto"/>
      </w:divBdr>
    </w:div>
    <w:div w:id="1807553154">
      <w:bodyDiv w:val="1"/>
      <w:marLeft w:val="0"/>
      <w:marRight w:val="0"/>
      <w:marTop w:val="0"/>
      <w:marBottom w:val="0"/>
      <w:divBdr>
        <w:top w:val="none" w:sz="0" w:space="0" w:color="auto"/>
        <w:left w:val="none" w:sz="0" w:space="0" w:color="auto"/>
        <w:bottom w:val="none" w:sz="0" w:space="0" w:color="auto"/>
        <w:right w:val="none" w:sz="0" w:space="0" w:color="auto"/>
      </w:divBdr>
    </w:div>
    <w:div w:id="1809859085">
      <w:bodyDiv w:val="1"/>
      <w:marLeft w:val="0"/>
      <w:marRight w:val="0"/>
      <w:marTop w:val="0"/>
      <w:marBottom w:val="0"/>
      <w:divBdr>
        <w:top w:val="none" w:sz="0" w:space="0" w:color="auto"/>
        <w:left w:val="none" w:sz="0" w:space="0" w:color="auto"/>
        <w:bottom w:val="none" w:sz="0" w:space="0" w:color="auto"/>
        <w:right w:val="none" w:sz="0" w:space="0" w:color="auto"/>
      </w:divBdr>
    </w:div>
    <w:div w:id="1814328941">
      <w:bodyDiv w:val="1"/>
      <w:marLeft w:val="0"/>
      <w:marRight w:val="0"/>
      <w:marTop w:val="0"/>
      <w:marBottom w:val="0"/>
      <w:divBdr>
        <w:top w:val="none" w:sz="0" w:space="0" w:color="auto"/>
        <w:left w:val="none" w:sz="0" w:space="0" w:color="auto"/>
        <w:bottom w:val="none" w:sz="0" w:space="0" w:color="auto"/>
        <w:right w:val="none" w:sz="0" w:space="0" w:color="auto"/>
      </w:divBdr>
    </w:div>
    <w:div w:id="1814565348">
      <w:bodyDiv w:val="1"/>
      <w:marLeft w:val="0"/>
      <w:marRight w:val="0"/>
      <w:marTop w:val="0"/>
      <w:marBottom w:val="0"/>
      <w:divBdr>
        <w:top w:val="none" w:sz="0" w:space="0" w:color="auto"/>
        <w:left w:val="none" w:sz="0" w:space="0" w:color="auto"/>
        <w:bottom w:val="none" w:sz="0" w:space="0" w:color="auto"/>
        <w:right w:val="none" w:sz="0" w:space="0" w:color="auto"/>
      </w:divBdr>
    </w:div>
    <w:div w:id="1826582368">
      <w:bodyDiv w:val="1"/>
      <w:marLeft w:val="0"/>
      <w:marRight w:val="0"/>
      <w:marTop w:val="0"/>
      <w:marBottom w:val="0"/>
      <w:divBdr>
        <w:top w:val="none" w:sz="0" w:space="0" w:color="auto"/>
        <w:left w:val="none" w:sz="0" w:space="0" w:color="auto"/>
        <w:bottom w:val="none" w:sz="0" w:space="0" w:color="auto"/>
        <w:right w:val="none" w:sz="0" w:space="0" w:color="auto"/>
      </w:divBdr>
    </w:div>
    <w:div w:id="1826821366">
      <w:bodyDiv w:val="1"/>
      <w:marLeft w:val="0"/>
      <w:marRight w:val="0"/>
      <w:marTop w:val="0"/>
      <w:marBottom w:val="0"/>
      <w:divBdr>
        <w:top w:val="none" w:sz="0" w:space="0" w:color="auto"/>
        <w:left w:val="none" w:sz="0" w:space="0" w:color="auto"/>
        <w:bottom w:val="none" w:sz="0" w:space="0" w:color="auto"/>
        <w:right w:val="none" w:sz="0" w:space="0" w:color="auto"/>
      </w:divBdr>
    </w:div>
    <w:div w:id="1827282107">
      <w:bodyDiv w:val="1"/>
      <w:marLeft w:val="0"/>
      <w:marRight w:val="0"/>
      <w:marTop w:val="0"/>
      <w:marBottom w:val="0"/>
      <w:divBdr>
        <w:top w:val="none" w:sz="0" w:space="0" w:color="auto"/>
        <w:left w:val="none" w:sz="0" w:space="0" w:color="auto"/>
        <w:bottom w:val="none" w:sz="0" w:space="0" w:color="auto"/>
        <w:right w:val="none" w:sz="0" w:space="0" w:color="auto"/>
      </w:divBdr>
    </w:div>
    <w:div w:id="1831024741">
      <w:bodyDiv w:val="1"/>
      <w:marLeft w:val="0"/>
      <w:marRight w:val="0"/>
      <w:marTop w:val="0"/>
      <w:marBottom w:val="0"/>
      <w:divBdr>
        <w:top w:val="none" w:sz="0" w:space="0" w:color="auto"/>
        <w:left w:val="none" w:sz="0" w:space="0" w:color="auto"/>
        <w:bottom w:val="none" w:sz="0" w:space="0" w:color="auto"/>
        <w:right w:val="none" w:sz="0" w:space="0" w:color="auto"/>
      </w:divBdr>
    </w:div>
    <w:div w:id="1832061341">
      <w:bodyDiv w:val="1"/>
      <w:marLeft w:val="0"/>
      <w:marRight w:val="0"/>
      <w:marTop w:val="0"/>
      <w:marBottom w:val="0"/>
      <w:divBdr>
        <w:top w:val="none" w:sz="0" w:space="0" w:color="auto"/>
        <w:left w:val="none" w:sz="0" w:space="0" w:color="auto"/>
        <w:bottom w:val="none" w:sz="0" w:space="0" w:color="auto"/>
        <w:right w:val="none" w:sz="0" w:space="0" w:color="auto"/>
      </w:divBdr>
    </w:div>
    <w:div w:id="1833830395">
      <w:bodyDiv w:val="1"/>
      <w:marLeft w:val="0"/>
      <w:marRight w:val="0"/>
      <w:marTop w:val="0"/>
      <w:marBottom w:val="0"/>
      <w:divBdr>
        <w:top w:val="none" w:sz="0" w:space="0" w:color="auto"/>
        <w:left w:val="none" w:sz="0" w:space="0" w:color="auto"/>
        <w:bottom w:val="none" w:sz="0" w:space="0" w:color="auto"/>
        <w:right w:val="none" w:sz="0" w:space="0" w:color="auto"/>
      </w:divBdr>
    </w:div>
    <w:div w:id="1835023204">
      <w:bodyDiv w:val="1"/>
      <w:marLeft w:val="0"/>
      <w:marRight w:val="0"/>
      <w:marTop w:val="0"/>
      <w:marBottom w:val="0"/>
      <w:divBdr>
        <w:top w:val="none" w:sz="0" w:space="0" w:color="auto"/>
        <w:left w:val="none" w:sz="0" w:space="0" w:color="auto"/>
        <w:bottom w:val="none" w:sz="0" w:space="0" w:color="auto"/>
        <w:right w:val="none" w:sz="0" w:space="0" w:color="auto"/>
      </w:divBdr>
    </w:div>
    <w:div w:id="1838378586">
      <w:bodyDiv w:val="1"/>
      <w:marLeft w:val="0"/>
      <w:marRight w:val="0"/>
      <w:marTop w:val="0"/>
      <w:marBottom w:val="0"/>
      <w:divBdr>
        <w:top w:val="none" w:sz="0" w:space="0" w:color="auto"/>
        <w:left w:val="none" w:sz="0" w:space="0" w:color="auto"/>
        <w:bottom w:val="none" w:sz="0" w:space="0" w:color="auto"/>
        <w:right w:val="none" w:sz="0" w:space="0" w:color="auto"/>
      </w:divBdr>
    </w:div>
    <w:div w:id="1841696164">
      <w:bodyDiv w:val="1"/>
      <w:marLeft w:val="0"/>
      <w:marRight w:val="0"/>
      <w:marTop w:val="0"/>
      <w:marBottom w:val="0"/>
      <w:divBdr>
        <w:top w:val="none" w:sz="0" w:space="0" w:color="auto"/>
        <w:left w:val="none" w:sz="0" w:space="0" w:color="auto"/>
        <w:bottom w:val="none" w:sz="0" w:space="0" w:color="auto"/>
        <w:right w:val="none" w:sz="0" w:space="0" w:color="auto"/>
      </w:divBdr>
    </w:div>
    <w:div w:id="1851404891">
      <w:bodyDiv w:val="1"/>
      <w:marLeft w:val="0"/>
      <w:marRight w:val="0"/>
      <w:marTop w:val="0"/>
      <w:marBottom w:val="0"/>
      <w:divBdr>
        <w:top w:val="none" w:sz="0" w:space="0" w:color="auto"/>
        <w:left w:val="none" w:sz="0" w:space="0" w:color="auto"/>
        <w:bottom w:val="none" w:sz="0" w:space="0" w:color="auto"/>
        <w:right w:val="none" w:sz="0" w:space="0" w:color="auto"/>
      </w:divBdr>
    </w:div>
    <w:div w:id="1856964688">
      <w:bodyDiv w:val="1"/>
      <w:marLeft w:val="0"/>
      <w:marRight w:val="0"/>
      <w:marTop w:val="0"/>
      <w:marBottom w:val="0"/>
      <w:divBdr>
        <w:top w:val="none" w:sz="0" w:space="0" w:color="auto"/>
        <w:left w:val="none" w:sz="0" w:space="0" w:color="auto"/>
        <w:bottom w:val="none" w:sz="0" w:space="0" w:color="auto"/>
        <w:right w:val="none" w:sz="0" w:space="0" w:color="auto"/>
      </w:divBdr>
    </w:div>
    <w:div w:id="1857579053">
      <w:bodyDiv w:val="1"/>
      <w:marLeft w:val="0"/>
      <w:marRight w:val="0"/>
      <w:marTop w:val="0"/>
      <w:marBottom w:val="0"/>
      <w:divBdr>
        <w:top w:val="none" w:sz="0" w:space="0" w:color="auto"/>
        <w:left w:val="none" w:sz="0" w:space="0" w:color="auto"/>
        <w:bottom w:val="none" w:sz="0" w:space="0" w:color="auto"/>
        <w:right w:val="none" w:sz="0" w:space="0" w:color="auto"/>
      </w:divBdr>
    </w:div>
    <w:div w:id="1864593416">
      <w:bodyDiv w:val="1"/>
      <w:marLeft w:val="0"/>
      <w:marRight w:val="0"/>
      <w:marTop w:val="0"/>
      <w:marBottom w:val="0"/>
      <w:divBdr>
        <w:top w:val="none" w:sz="0" w:space="0" w:color="auto"/>
        <w:left w:val="none" w:sz="0" w:space="0" w:color="auto"/>
        <w:bottom w:val="none" w:sz="0" w:space="0" w:color="auto"/>
        <w:right w:val="none" w:sz="0" w:space="0" w:color="auto"/>
      </w:divBdr>
    </w:div>
    <w:div w:id="1865629103">
      <w:bodyDiv w:val="1"/>
      <w:marLeft w:val="0"/>
      <w:marRight w:val="0"/>
      <w:marTop w:val="0"/>
      <w:marBottom w:val="0"/>
      <w:divBdr>
        <w:top w:val="none" w:sz="0" w:space="0" w:color="auto"/>
        <w:left w:val="none" w:sz="0" w:space="0" w:color="auto"/>
        <w:bottom w:val="none" w:sz="0" w:space="0" w:color="auto"/>
        <w:right w:val="none" w:sz="0" w:space="0" w:color="auto"/>
      </w:divBdr>
    </w:div>
    <w:div w:id="1865633764">
      <w:bodyDiv w:val="1"/>
      <w:marLeft w:val="0"/>
      <w:marRight w:val="0"/>
      <w:marTop w:val="0"/>
      <w:marBottom w:val="0"/>
      <w:divBdr>
        <w:top w:val="none" w:sz="0" w:space="0" w:color="auto"/>
        <w:left w:val="none" w:sz="0" w:space="0" w:color="auto"/>
        <w:bottom w:val="none" w:sz="0" w:space="0" w:color="auto"/>
        <w:right w:val="none" w:sz="0" w:space="0" w:color="auto"/>
      </w:divBdr>
    </w:div>
    <w:div w:id="1868713194">
      <w:bodyDiv w:val="1"/>
      <w:marLeft w:val="0"/>
      <w:marRight w:val="0"/>
      <w:marTop w:val="0"/>
      <w:marBottom w:val="0"/>
      <w:divBdr>
        <w:top w:val="none" w:sz="0" w:space="0" w:color="auto"/>
        <w:left w:val="none" w:sz="0" w:space="0" w:color="auto"/>
        <w:bottom w:val="none" w:sz="0" w:space="0" w:color="auto"/>
        <w:right w:val="none" w:sz="0" w:space="0" w:color="auto"/>
      </w:divBdr>
    </w:div>
    <w:div w:id="1869564198">
      <w:bodyDiv w:val="1"/>
      <w:marLeft w:val="0"/>
      <w:marRight w:val="0"/>
      <w:marTop w:val="0"/>
      <w:marBottom w:val="0"/>
      <w:divBdr>
        <w:top w:val="none" w:sz="0" w:space="0" w:color="auto"/>
        <w:left w:val="none" w:sz="0" w:space="0" w:color="auto"/>
        <w:bottom w:val="none" w:sz="0" w:space="0" w:color="auto"/>
        <w:right w:val="none" w:sz="0" w:space="0" w:color="auto"/>
      </w:divBdr>
    </w:div>
    <w:div w:id="1874998252">
      <w:bodyDiv w:val="1"/>
      <w:marLeft w:val="0"/>
      <w:marRight w:val="0"/>
      <w:marTop w:val="0"/>
      <w:marBottom w:val="0"/>
      <w:divBdr>
        <w:top w:val="none" w:sz="0" w:space="0" w:color="auto"/>
        <w:left w:val="none" w:sz="0" w:space="0" w:color="auto"/>
        <w:bottom w:val="none" w:sz="0" w:space="0" w:color="auto"/>
        <w:right w:val="none" w:sz="0" w:space="0" w:color="auto"/>
      </w:divBdr>
    </w:div>
    <w:div w:id="1875773626">
      <w:bodyDiv w:val="1"/>
      <w:marLeft w:val="0"/>
      <w:marRight w:val="0"/>
      <w:marTop w:val="0"/>
      <w:marBottom w:val="0"/>
      <w:divBdr>
        <w:top w:val="none" w:sz="0" w:space="0" w:color="auto"/>
        <w:left w:val="none" w:sz="0" w:space="0" w:color="auto"/>
        <w:bottom w:val="none" w:sz="0" w:space="0" w:color="auto"/>
        <w:right w:val="none" w:sz="0" w:space="0" w:color="auto"/>
      </w:divBdr>
    </w:div>
    <w:div w:id="1880429540">
      <w:bodyDiv w:val="1"/>
      <w:marLeft w:val="0"/>
      <w:marRight w:val="0"/>
      <w:marTop w:val="0"/>
      <w:marBottom w:val="0"/>
      <w:divBdr>
        <w:top w:val="none" w:sz="0" w:space="0" w:color="auto"/>
        <w:left w:val="none" w:sz="0" w:space="0" w:color="auto"/>
        <w:bottom w:val="none" w:sz="0" w:space="0" w:color="auto"/>
        <w:right w:val="none" w:sz="0" w:space="0" w:color="auto"/>
      </w:divBdr>
    </w:div>
    <w:div w:id="1882595956">
      <w:bodyDiv w:val="1"/>
      <w:marLeft w:val="0"/>
      <w:marRight w:val="0"/>
      <w:marTop w:val="0"/>
      <w:marBottom w:val="0"/>
      <w:divBdr>
        <w:top w:val="none" w:sz="0" w:space="0" w:color="auto"/>
        <w:left w:val="none" w:sz="0" w:space="0" w:color="auto"/>
        <w:bottom w:val="none" w:sz="0" w:space="0" w:color="auto"/>
        <w:right w:val="none" w:sz="0" w:space="0" w:color="auto"/>
      </w:divBdr>
    </w:div>
    <w:div w:id="1885095381">
      <w:bodyDiv w:val="1"/>
      <w:marLeft w:val="0"/>
      <w:marRight w:val="0"/>
      <w:marTop w:val="0"/>
      <w:marBottom w:val="0"/>
      <w:divBdr>
        <w:top w:val="none" w:sz="0" w:space="0" w:color="auto"/>
        <w:left w:val="none" w:sz="0" w:space="0" w:color="auto"/>
        <w:bottom w:val="none" w:sz="0" w:space="0" w:color="auto"/>
        <w:right w:val="none" w:sz="0" w:space="0" w:color="auto"/>
      </w:divBdr>
    </w:div>
    <w:div w:id="1887717241">
      <w:bodyDiv w:val="1"/>
      <w:marLeft w:val="0"/>
      <w:marRight w:val="0"/>
      <w:marTop w:val="0"/>
      <w:marBottom w:val="0"/>
      <w:divBdr>
        <w:top w:val="none" w:sz="0" w:space="0" w:color="auto"/>
        <w:left w:val="none" w:sz="0" w:space="0" w:color="auto"/>
        <w:bottom w:val="none" w:sz="0" w:space="0" w:color="auto"/>
        <w:right w:val="none" w:sz="0" w:space="0" w:color="auto"/>
      </w:divBdr>
    </w:div>
    <w:div w:id="1892765809">
      <w:bodyDiv w:val="1"/>
      <w:marLeft w:val="0"/>
      <w:marRight w:val="0"/>
      <w:marTop w:val="0"/>
      <w:marBottom w:val="0"/>
      <w:divBdr>
        <w:top w:val="none" w:sz="0" w:space="0" w:color="auto"/>
        <w:left w:val="none" w:sz="0" w:space="0" w:color="auto"/>
        <w:bottom w:val="none" w:sz="0" w:space="0" w:color="auto"/>
        <w:right w:val="none" w:sz="0" w:space="0" w:color="auto"/>
      </w:divBdr>
    </w:div>
    <w:div w:id="1893496514">
      <w:bodyDiv w:val="1"/>
      <w:marLeft w:val="0"/>
      <w:marRight w:val="0"/>
      <w:marTop w:val="0"/>
      <w:marBottom w:val="0"/>
      <w:divBdr>
        <w:top w:val="none" w:sz="0" w:space="0" w:color="auto"/>
        <w:left w:val="none" w:sz="0" w:space="0" w:color="auto"/>
        <w:bottom w:val="none" w:sz="0" w:space="0" w:color="auto"/>
        <w:right w:val="none" w:sz="0" w:space="0" w:color="auto"/>
      </w:divBdr>
    </w:div>
    <w:div w:id="1896811535">
      <w:bodyDiv w:val="1"/>
      <w:marLeft w:val="0"/>
      <w:marRight w:val="0"/>
      <w:marTop w:val="0"/>
      <w:marBottom w:val="0"/>
      <w:divBdr>
        <w:top w:val="none" w:sz="0" w:space="0" w:color="auto"/>
        <w:left w:val="none" w:sz="0" w:space="0" w:color="auto"/>
        <w:bottom w:val="none" w:sz="0" w:space="0" w:color="auto"/>
        <w:right w:val="none" w:sz="0" w:space="0" w:color="auto"/>
      </w:divBdr>
    </w:div>
    <w:div w:id="1902053065">
      <w:bodyDiv w:val="1"/>
      <w:marLeft w:val="0"/>
      <w:marRight w:val="0"/>
      <w:marTop w:val="0"/>
      <w:marBottom w:val="0"/>
      <w:divBdr>
        <w:top w:val="none" w:sz="0" w:space="0" w:color="auto"/>
        <w:left w:val="none" w:sz="0" w:space="0" w:color="auto"/>
        <w:bottom w:val="none" w:sz="0" w:space="0" w:color="auto"/>
        <w:right w:val="none" w:sz="0" w:space="0" w:color="auto"/>
      </w:divBdr>
    </w:div>
    <w:div w:id="1907495850">
      <w:bodyDiv w:val="1"/>
      <w:marLeft w:val="0"/>
      <w:marRight w:val="0"/>
      <w:marTop w:val="0"/>
      <w:marBottom w:val="0"/>
      <w:divBdr>
        <w:top w:val="none" w:sz="0" w:space="0" w:color="auto"/>
        <w:left w:val="none" w:sz="0" w:space="0" w:color="auto"/>
        <w:bottom w:val="none" w:sz="0" w:space="0" w:color="auto"/>
        <w:right w:val="none" w:sz="0" w:space="0" w:color="auto"/>
      </w:divBdr>
    </w:div>
    <w:div w:id="1910656580">
      <w:bodyDiv w:val="1"/>
      <w:marLeft w:val="0"/>
      <w:marRight w:val="0"/>
      <w:marTop w:val="0"/>
      <w:marBottom w:val="0"/>
      <w:divBdr>
        <w:top w:val="none" w:sz="0" w:space="0" w:color="auto"/>
        <w:left w:val="none" w:sz="0" w:space="0" w:color="auto"/>
        <w:bottom w:val="none" w:sz="0" w:space="0" w:color="auto"/>
        <w:right w:val="none" w:sz="0" w:space="0" w:color="auto"/>
      </w:divBdr>
    </w:div>
    <w:div w:id="1912228474">
      <w:bodyDiv w:val="1"/>
      <w:marLeft w:val="0"/>
      <w:marRight w:val="0"/>
      <w:marTop w:val="0"/>
      <w:marBottom w:val="0"/>
      <w:divBdr>
        <w:top w:val="none" w:sz="0" w:space="0" w:color="auto"/>
        <w:left w:val="none" w:sz="0" w:space="0" w:color="auto"/>
        <w:bottom w:val="none" w:sz="0" w:space="0" w:color="auto"/>
        <w:right w:val="none" w:sz="0" w:space="0" w:color="auto"/>
      </w:divBdr>
    </w:div>
    <w:div w:id="1913008948">
      <w:bodyDiv w:val="1"/>
      <w:marLeft w:val="0"/>
      <w:marRight w:val="0"/>
      <w:marTop w:val="0"/>
      <w:marBottom w:val="0"/>
      <w:divBdr>
        <w:top w:val="none" w:sz="0" w:space="0" w:color="auto"/>
        <w:left w:val="none" w:sz="0" w:space="0" w:color="auto"/>
        <w:bottom w:val="none" w:sz="0" w:space="0" w:color="auto"/>
        <w:right w:val="none" w:sz="0" w:space="0" w:color="auto"/>
      </w:divBdr>
    </w:div>
    <w:div w:id="1925840912">
      <w:bodyDiv w:val="1"/>
      <w:marLeft w:val="0"/>
      <w:marRight w:val="0"/>
      <w:marTop w:val="0"/>
      <w:marBottom w:val="0"/>
      <w:divBdr>
        <w:top w:val="none" w:sz="0" w:space="0" w:color="auto"/>
        <w:left w:val="none" w:sz="0" w:space="0" w:color="auto"/>
        <w:bottom w:val="none" w:sz="0" w:space="0" w:color="auto"/>
        <w:right w:val="none" w:sz="0" w:space="0" w:color="auto"/>
      </w:divBdr>
    </w:div>
    <w:div w:id="1927228765">
      <w:bodyDiv w:val="1"/>
      <w:marLeft w:val="0"/>
      <w:marRight w:val="0"/>
      <w:marTop w:val="0"/>
      <w:marBottom w:val="0"/>
      <w:divBdr>
        <w:top w:val="none" w:sz="0" w:space="0" w:color="auto"/>
        <w:left w:val="none" w:sz="0" w:space="0" w:color="auto"/>
        <w:bottom w:val="none" w:sz="0" w:space="0" w:color="auto"/>
        <w:right w:val="none" w:sz="0" w:space="0" w:color="auto"/>
      </w:divBdr>
    </w:div>
    <w:div w:id="1927375913">
      <w:bodyDiv w:val="1"/>
      <w:marLeft w:val="0"/>
      <w:marRight w:val="0"/>
      <w:marTop w:val="0"/>
      <w:marBottom w:val="0"/>
      <w:divBdr>
        <w:top w:val="none" w:sz="0" w:space="0" w:color="auto"/>
        <w:left w:val="none" w:sz="0" w:space="0" w:color="auto"/>
        <w:bottom w:val="none" w:sz="0" w:space="0" w:color="auto"/>
        <w:right w:val="none" w:sz="0" w:space="0" w:color="auto"/>
      </w:divBdr>
    </w:div>
    <w:div w:id="1929804604">
      <w:bodyDiv w:val="1"/>
      <w:marLeft w:val="0"/>
      <w:marRight w:val="0"/>
      <w:marTop w:val="0"/>
      <w:marBottom w:val="0"/>
      <w:divBdr>
        <w:top w:val="none" w:sz="0" w:space="0" w:color="auto"/>
        <w:left w:val="none" w:sz="0" w:space="0" w:color="auto"/>
        <w:bottom w:val="none" w:sz="0" w:space="0" w:color="auto"/>
        <w:right w:val="none" w:sz="0" w:space="0" w:color="auto"/>
      </w:divBdr>
    </w:div>
    <w:div w:id="1931042808">
      <w:bodyDiv w:val="1"/>
      <w:marLeft w:val="0"/>
      <w:marRight w:val="0"/>
      <w:marTop w:val="0"/>
      <w:marBottom w:val="0"/>
      <w:divBdr>
        <w:top w:val="none" w:sz="0" w:space="0" w:color="auto"/>
        <w:left w:val="none" w:sz="0" w:space="0" w:color="auto"/>
        <w:bottom w:val="none" w:sz="0" w:space="0" w:color="auto"/>
        <w:right w:val="none" w:sz="0" w:space="0" w:color="auto"/>
      </w:divBdr>
    </w:div>
    <w:div w:id="1931505324">
      <w:bodyDiv w:val="1"/>
      <w:marLeft w:val="0"/>
      <w:marRight w:val="0"/>
      <w:marTop w:val="0"/>
      <w:marBottom w:val="0"/>
      <w:divBdr>
        <w:top w:val="none" w:sz="0" w:space="0" w:color="auto"/>
        <w:left w:val="none" w:sz="0" w:space="0" w:color="auto"/>
        <w:bottom w:val="none" w:sz="0" w:space="0" w:color="auto"/>
        <w:right w:val="none" w:sz="0" w:space="0" w:color="auto"/>
      </w:divBdr>
    </w:div>
    <w:div w:id="1933077412">
      <w:bodyDiv w:val="1"/>
      <w:marLeft w:val="0"/>
      <w:marRight w:val="0"/>
      <w:marTop w:val="0"/>
      <w:marBottom w:val="0"/>
      <w:divBdr>
        <w:top w:val="none" w:sz="0" w:space="0" w:color="auto"/>
        <w:left w:val="none" w:sz="0" w:space="0" w:color="auto"/>
        <w:bottom w:val="none" w:sz="0" w:space="0" w:color="auto"/>
        <w:right w:val="none" w:sz="0" w:space="0" w:color="auto"/>
      </w:divBdr>
    </w:div>
    <w:div w:id="1935092634">
      <w:bodyDiv w:val="1"/>
      <w:marLeft w:val="0"/>
      <w:marRight w:val="0"/>
      <w:marTop w:val="0"/>
      <w:marBottom w:val="0"/>
      <w:divBdr>
        <w:top w:val="none" w:sz="0" w:space="0" w:color="auto"/>
        <w:left w:val="none" w:sz="0" w:space="0" w:color="auto"/>
        <w:bottom w:val="none" w:sz="0" w:space="0" w:color="auto"/>
        <w:right w:val="none" w:sz="0" w:space="0" w:color="auto"/>
      </w:divBdr>
    </w:div>
    <w:div w:id="1940915643">
      <w:bodyDiv w:val="1"/>
      <w:marLeft w:val="0"/>
      <w:marRight w:val="0"/>
      <w:marTop w:val="0"/>
      <w:marBottom w:val="0"/>
      <w:divBdr>
        <w:top w:val="none" w:sz="0" w:space="0" w:color="auto"/>
        <w:left w:val="none" w:sz="0" w:space="0" w:color="auto"/>
        <w:bottom w:val="none" w:sz="0" w:space="0" w:color="auto"/>
        <w:right w:val="none" w:sz="0" w:space="0" w:color="auto"/>
      </w:divBdr>
    </w:div>
    <w:div w:id="1942487201">
      <w:bodyDiv w:val="1"/>
      <w:marLeft w:val="0"/>
      <w:marRight w:val="0"/>
      <w:marTop w:val="0"/>
      <w:marBottom w:val="0"/>
      <w:divBdr>
        <w:top w:val="none" w:sz="0" w:space="0" w:color="auto"/>
        <w:left w:val="none" w:sz="0" w:space="0" w:color="auto"/>
        <w:bottom w:val="none" w:sz="0" w:space="0" w:color="auto"/>
        <w:right w:val="none" w:sz="0" w:space="0" w:color="auto"/>
      </w:divBdr>
    </w:div>
    <w:div w:id="1943299852">
      <w:bodyDiv w:val="1"/>
      <w:marLeft w:val="0"/>
      <w:marRight w:val="0"/>
      <w:marTop w:val="0"/>
      <w:marBottom w:val="0"/>
      <w:divBdr>
        <w:top w:val="none" w:sz="0" w:space="0" w:color="auto"/>
        <w:left w:val="none" w:sz="0" w:space="0" w:color="auto"/>
        <w:bottom w:val="none" w:sz="0" w:space="0" w:color="auto"/>
        <w:right w:val="none" w:sz="0" w:space="0" w:color="auto"/>
      </w:divBdr>
    </w:div>
    <w:div w:id="1944411825">
      <w:bodyDiv w:val="1"/>
      <w:marLeft w:val="0"/>
      <w:marRight w:val="0"/>
      <w:marTop w:val="0"/>
      <w:marBottom w:val="0"/>
      <w:divBdr>
        <w:top w:val="none" w:sz="0" w:space="0" w:color="auto"/>
        <w:left w:val="none" w:sz="0" w:space="0" w:color="auto"/>
        <w:bottom w:val="none" w:sz="0" w:space="0" w:color="auto"/>
        <w:right w:val="none" w:sz="0" w:space="0" w:color="auto"/>
      </w:divBdr>
    </w:div>
    <w:div w:id="1947732160">
      <w:bodyDiv w:val="1"/>
      <w:marLeft w:val="0"/>
      <w:marRight w:val="0"/>
      <w:marTop w:val="0"/>
      <w:marBottom w:val="0"/>
      <w:divBdr>
        <w:top w:val="none" w:sz="0" w:space="0" w:color="auto"/>
        <w:left w:val="none" w:sz="0" w:space="0" w:color="auto"/>
        <w:bottom w:val="none" w:sz="0" w:space="0" w:color="auto"/>
        <w:right w:val="none" w:sz="0" w:space="0" w:color="auto"/>
      </w:divBdr>
    </w:div>
    <w:div w:id="1953315543">
      <w:bodyDiv w:val="1"/>
      <w:marLeft w:val="0"/>
      <w:marRight w:val="0"/>
      <w:marTop w:val="0"/>
      <w:marBottom w:val="0"/>
      <w:divBdr>
        <w:top w:val="none" w:sz="0" w:space="0" w:color="auto"/>
        <w:left w:val="none" w:sz="0" w:space="0" w:color="auto"/>
        <w:bottom w:val="none" w:sz="0" w:space="0" w:color="auto"/>
        <w:right w:val="none" w:sz="0" w:space="0" w:color="auto"/>
      </w:divBdr>
    </w:div>
    <w:div w:id="1954746096">
      <w:bodyDiv w:val="1"/>
      <w:marLeft w:val="0"/>
      <w:marRight w:val="0"/>
      <w:marTop w:val="0"/>
      <w:marBottom w:val="0"/>
      <w:divBdr>
        <w:top w:val="none" w:sz="0" w:space="0" w:color="auto"/>
        <w:left w:val="none" w:sz="0" w:space="0" w:color="auto"/>
        <w:bottom w:val="none" w:sz="0" w:space="0" w:color="auto"/>
        <w:right w:val="none" w:sz="0" w:space="0" w:color="auto"/>
      </w:divBdr>
    </w:div>
    <w:div w:id="1956281170">
      <w:bodyDiv w:val="1"/>
      <w:marLeft w:val="0"/>
      <w:marRight w:val="0"/>
      <w:marTop w:val="0"/>
      <w:marBottom w:val="0"/>
      <w:divBdr>
        <w:top w:val="none" w:sz="0" w:space="0" w:color="auto"/>
        <w:left w:val="none" w:sz="0" w:space="0" w:color="auto"/>
        <w:bottom w:val="none" w:sz="0" w:space="0" w:color="auto"/>
        <w:right w:val="none" w:sz="0" w:space="0" w:color="auto"/>
      </w:divBdr>
    </w:div>
    <w:div w:id="1956861943">
      <w:bodyDiv w:val="1"/>
      <w:marLeft w:val="0"/>
      <w:marRight w:val="0"/>
      <w:marTop w:val="0"/>
      <w:marBottom w:val="0"/>
      <w:divBdr>
        <w:top w:val="none" w:sz="0" w:space="0" w:color="auto"/>
        <w:left w:val="none" w:sz="0" w:space="0" w:color="auto"/>
        <w:bottom w:val="none" w:sz="0" w:space="0" w:color="auto"/>
        <w:right w:val="none" w:sz="0" w:space="0" w:color="auto"/>
      </w:divBdr>
    </w:div>
    <w:div w:id="1957986281">
      <w:bodyDiv w:val="1"/>
      <w:marLeft w:val="0"/>
      <w:marRight w:val="0"/>
      <w:marTop w:val="0"/>
      <w:marBottom w:val="0"/>
      <w:divBdr>
        <w:top w:val="none" w:sz="0" w:space="0" w:color="auto"/>
        <w:left w:val="none" w:sz="0" w:space="0" w:color="auto"/>
        <w:bottom w:val="none" w:sz="0" w:space="0" w:color="auto"/>
        <w:right w:val="none" w:sz="0" w:space="0" w:color="auto"/>
      </w:divBdr>
    </w:div>
    <w:div w:id="1958438911">
      <w:bodyDiv w:val="1"/>
      <w:marLeft w:val="0"/>
      <w:marRight w:val="0"/>
      <w:marTop w:val="0"/>
      <w:marBottom w:val="0"/>
      <w:divBdr>
        <w:top w:val="none" w:sz="0" w:space="0" w:color="auto"/>
        <w:left w:val="none" w:sz="0" w:space="0" w:color="auto"/>
        <w:bottom w:val="none" w:sz="0" w:space="0" w:color="auto"/>
        <w:right w:val="none" w:sz="0" w:space="0" w:color="auto"/>
      </w:divBdr>
    </w:div>
    <w:div w:id="1962108238">
      <w:bodyDiv w:val="1"/>
      <w:marLeft w:val="0"/>
      <w:marRight w:val="0"/>
      <w:marTop w:val="0"/>
      <w:marBottom w:val="0"/>
      <w:divBdr>
        <w:top w:val="none" w:sz="0" w:space="0" w:color="auto"/>
        <w:left w:val="none" w:sz="0" w:space="0" w:color="auto"/>
        <w:bottom w:val="none" w:sz="0" w:space="0" w:color="auto"/>
        <w:right w:val="none" w:sz="0" w:space="0" w:color="auto"/>
      </w:divBdr>
    </w:div>
    <w:div w:id="1963657727">
      <w:bodyDiv w:val="1"/>
      <w:marLeft w:val="0"/>
      <w:marRight w:val="0"/>
      <w:marTop w:val="0"/>
      <w:marBottom w:val="0"/>
      <w:divBdr>
        <w:top w:val="none" w:sz="0" w:space="0" w:color="auto"/>
        <w:left w:val="none" w:sz="0" w:space="0" w:color="auto"/>
        <w:bottom w:val="none" w:sz="0" w:space="0" w:color="auto"/>
        <w:right w:val="none" w:sz="0" w:space="0" w:color="auto"/>
      </w:divBdr>
    </w:div>
    <w:div w:id="1965770793">
      <w:bodyDiv w:val="1"/>
      <w:marLeft w:val="0"/>
      <w:marRight w:val="0"/>
      <w:marTop w:val="0"/>
      <w:marBottom w:val="0"/>
      <w:divBdr>
        <w:top w:val="none" w:sz="0" w:space="0" w:color="auto"/>
        <w:left w:val="none" w:sz="0" w:space="0" w:color="auto"/>
        <w:bottom w:val="none" w:sz="0" w:space="0" w:color="auto"/>
        <w:right w:val="none" w:sz="0" w:space="0" w:color="auto"/>
      </w:divBdr>
    </w:div>
    <w:div w:id="1967391753">
      <w:bodyDiv w:val="1"/>
      <w:marLeft w:val="0"/>
      <w:marRight w:val="0"/>
      <w:marTop w:val="0"/>
      <w:marBottom w:val="0"/>
      <w:divBdr>
        <w:top w:val="none" w:sz="0" w:space="0" w:color="auto"/>
        <w:left w:val="none" w:sz="0" w:space="0" w:color="auto"/>
        <w:bottom w:val="none" w:sz="0" w:space="0" w:color="auto"/>
        <w:right w:val="none" w:sz="0" w:space="0" w:color="auto"/>
      </w:divBdr>
    </w:div>
    <w:div w:id="1971277345">
      <w:bodyDiv w:val="1"/>
      <w:marLeft w:val="0"/>
      <w:marRight w:val="0"/>
      <w:marTop w:val="0"/>
      <w:marBottom w:val="0"/>
      <w:divBdr>
        <w:top w:val="none" w:sz="0" w:space="0" w:color="auto"/>
        <w:left w:val="none" w:sz="0" w:space="0" w:color="auto"/>
        <w:bottom w:val="none" w:sz="0" w:space="0" w:color="auto"/>
        <w:right w:val="none" w:sz="0" w:space="0" w:color="auto"/>
      </w:divBdr>
      <w:divsChild>
        <w:div w:id="1472477962">
          <w:marLeft w:val="480"/>
          <w:marRight w:val="0"/>
          <w:marTop w:val="0"/>
          <w:marBottom w:val="0"/>
          <w:divBdr>
            <w:top w:val="none" w:sz="0" w:space="0" w:color="auto"/>
            <w:left w:val="none" w:sz="0" w:space="0" w:color="auto"/>
            <w:bottom w:val="none" w:sz="0" w:space="0" w:color="auto"/>
            <w:right w:val="none" w:sz="0" w:space="0" w:color="auto"/>
          </w:divBdr>
          <w:divsChild>
            <w:div w:id="1055396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42458">
      <w:bodyDiv w:val="1"/>
      <w:marLeft w:val="0"/>
      <w:marRight w:val="0"/>
      <w:marTop w:val="0"/>
      <w:marBottom w:val="0"/>
      <w:divBdr>
        <w:top w:val="none" w:sz="0" w:space="0" w:color="auto"/>
        <w:left w:val="none" w:sz="0" w:space="0" w:color="auto"/>
        <w:bottom w:val="none" w:sz="0" w:space="0" w:color="auto"/>
        <w:right w:val="none" w:sz="0" w:space="0" w:color="auto"/>
      </w:divBdr>
    </w:div>
    <w:div w:id="1976133496">
      <w:bodyDiv w:val="1"/>
      <w:marLeft w:val="0"/>
      <w:marRight w:val="0"/>
      <w:marTop w:val="0"/>
      <w:marBottom w:val="0"/>
      <w:divBdr>
        <w:top w:val="none" w:sz="0" w:space="0" w:color="auto"/>
        <w:left w:val="none" w:sz="0" w:space="0" w:color="auto"/>
        <w:bottom w:val="none" w:sz="0" w:space="0" w:color="auto"/>
        <w:right w:val="none" w:sz="0" w:space="0" w:color="auto"/>
      </w:divBdr>
    </w:div>
    <w:div w:id="1977374764">
      <w:bodyDiv w:val="1"/>
      <w:marLeft w:val="0"/>
      <w:marRight w:val="0"/>
      <w:marTop w:val="0"/>
      <w:marBottom w:val="0"/>
      <w:divBdr>
        <w:top w:val="none" w:sz="0" w:space="0" w:color="auto"/>
        <w:left w:val="none" w:sz="0" w:space="0" w:color="auto"/>
        <w:bottom w:val="none" w:sz="0" w:space="0" w:color="auto"/>
        <w:right w:val="none" w:sz="0" w:space="0" w:color="auto"/>
      </w:divBdr>
    </w:div>
    <w:div w:id="1981499844">
      <w:bodyDiv w:val="1"/>
      <w:marLeft w:val="0"/>
      <w:marRight w:val="0"/>
      <w:marTop w:val="0"/>
      <w:marBottom w:val="0"/>
      <w:divBdr>
        <w:top w:val="none" w:sz="0" w:space="0" w:color="auto"/>
        <w:left w:val="none" w:sz="0" w:space="0" w:color="auto"/>
        <w:bottom w:val="none" w:sz="0" w:space="0" w:color="auto"/>
        <w:right w:val="none" w:sz="0" w:space="0" w:color="auto"/>
      </w:divBdr>
    </w:div>
    <w:div w:id="1995523986">
      <w:bodyDiv w:val="1"/>
      <w:marLeft w:val="0"/>
      <w:marRight w:val="0"/>
      <w:marTop w:val="0"/>
      <w:marBottom w:val="0"/>
      <w:divBdr>
        <w:top w:val="none" w:sz="0" w:space="0" w:color="auto"/>
        <w:left w:val="none" w:sz="0" w:space="0" w:color="auto"/>
        <w:bottom w:val="none" w:sz="0" w:space="0" w:color="auto"/>
        <w:right w:val="none" w:sz="0" w:space="0" w:color="auto"/>
      </w:divBdr>
    </w:div>
    <w:div w:id="1996059454">
      <w:bodyDiv w:val="1"/>
      <w:marLeft w:val="0"/>
      <w:marRight w:val="0"/>
      <w:marTop w:val="0"/>
      <w:marBottom w:val="0"/>
      <w:divBdr>
        <w:top w:val="none" w:sz="0" w:space="0" w:color="auto"/>
        <w:left w:val="none" w:sz="0" w:space="0" w:color="auto"/>
        <w:bottom w:val="none" w:sz="0" w:space="0" w:color="auto"/>
        <w:right w:val="none" w:sz="0" w:space="0" w:color="auto"/>
      </w:divBdr>
    </w:div>
    <w:div w:id="1997949834">
      <w:bodyDiv w:val="1"/>
      <w:marLeft w:val="0"/>
      <w:marRight w:val="0"/>
      <w:marTop w:val="0"/>
      <w:marBottom w:val="0"/>
      <w:divBdr>
        <w:top w:val="none" w:sz="0" w:space="0" w:color="auto"/>
        <w:left w:val="none" w:sz="0" w:space="0" w:color="auto"/>
        <w:bottom w:val="none" w:sz="0" w:space="0" w:color="auto"/>
        <w:right w:val="none" w:sz="0" w:space="0" w:color="auto"/>
      </w:divBdr>
    </w:div>
    <w:div w:id="1999115764">
      <w:bodyDiv w:val="1"/>
      <w:marLeft w:val="0"/>
      <w:marRight w:val="0"/>
      <w:marTop w:val="0"/>
      <w:marBottom w:val="0"/>
      <w:divBdr>
        <w:top w:val="none" w:sz="0" w:space="0" w:color="auto"/>
        <w:left w:val="none" w:sz="0" w:space="0" w:color="auto"/>
        <w:bottom w:val="none" w:sz="0" w:space="0" w:color="auto"/>
        <w:right w:val="none" w:sz="0" w:space="0" w:color="auto"/>
      </w:divBdr>
    </w:div>
    <w:div w:id="1999268446">
      <w:bodyDiv w:val="1"/>
      <w:marLeft w:val="0"/>
      <w:marRight w:val="0"/>
      <w:marTop w:val="0"/>
      <w:marBottom w:val="0"/>
      <w:divBdr>
        <w:top w:val="none" w:sz="0" w:space="0" w:color="auto"/>
        <w:left w:val="none" w:sz="0" w:space="0" w:color="auto"/>
        <w:bottom w:val="none" w:sz="0" w:space="0" w:color="auto"/>
        <w:right w:val="none" w:sz="0" w:space="0" w:color="auto"/>
      </w:divBdr>
    </w:div>
    <w:div w:id="1999307152">
      <w:bodyDiv w:val="1"/>
      <w:marLeft w:val="0"/>
      <w:marRight w:val="0"/>
      <w:marTop w:val="0"/>
      <w:marBottom w:val="0"/>
      <w:divBdr>
        <w:top w:val="none" w:sz="0" w:space="0" w:color="auto"/>
        <w:left w:val="none" w:sz="0" w:space="0" w:color="auto"/>
        <w:bottom w:val="none" w:sz="0" w:space="0" w:color="auto"/>
        <w:right w:val="none" w:sz="0" w:space="0" w:color="auto"/>
      </w:divBdr>
    </w:div>
    <w:div w:id="2003699573">
      <w:bodyDiv w:val="1"/>
      <w:marLeft w:val="0"/>
      <w:marRight w:val="0"/>
      <w:marTop w:val="0"/>
      <w:marBottom w:val="0"/>
      <w:divBdr>
        <w:top w:val="none" w:sz="0" w:space="0" w:color="auto"/>
        <w:left w:val="none" w:sz="0" w:space="0" w:color="auto"/>
        <w:bottom w:val="none" w:sz="0" w:space="0" w:color="auto"/>
        <w:right w:val="none" w:sz="0" w:space="0" w:color="auto"/>
      </w:divBdr>
    </w:div>
    <w:div w:id="2004507153">
      <w:bodyDiv w:val="1"/>
      <w:marLeft w:val="0"/>
      <w:marRight w:val="0"/>
      <w:marTop w:val="0"/>
      <w:marBottom w:val="0"/>
      <w:divBdr>
        <w:top w:val="none" w:sz="0" w:space="0" w:color="auto"/>
        <w:left w:val="none" w:sz="0" w:space="0" w:color="auto"/>
        <w:bottom w:val="none" w:sz="0" w:space="0" w:color="auto"/>
        <w:right w:val="none" w:sz="0" w:space="0" w:color="auto"/>
      </w:divBdr>
    </w:div>
    <w:div w:id="2006126187">
      <w:bodyDiv w:val="1"/>
      <w:marLeft w:val="0"/>
      <w:marRight w:val="0"/>
      <w:marTop w:val="0"/>
      <w:marBottom w:val="0"/>
      <w:divBdr>
        <w:top w:val="none" w:sz="0" w:space="0" w:color="auto"/>
        <w:left w:val="none" w:sz="0" w:space="0" w:color="auto"/>
        <w:bottom w:val="none" w:sz="0" w:space="0" w:color="auto"/>
        <w:right w:val="none" w:sz="0" w:space="0" w:color="auto"/>
      </w:divBdr>
    </w:div>
    <w:div w:id="2006349713">
      <w:bodyDiv w:val="1"/>
      <w:marLeft w:val="0"/>
      <w:marRight w:val="0"/>
      <w:marTop w:val="0"/>
      <w:marBottom w:val="0"/>
      <w:divBdr>
        <w:top w:val="none" w:sz="0" w:space="0" w:color="auto"/>
        <w:left w:val="none" w:sz="0" w:space="0" w:color="auto"/>
        <w:bottom w:val="none" w:sz="0" w:space="0" w:color="auto"/>
        <w:right w:val="none" w:sz="0" w:space="0" w:color="auto"/>
      </w:divBdr>
    </w:div>
    <w:div w:id="2008442319">
      <w:bodyDiv w:val="1"/>
      <w:marLeft w:val="0"/>
      <w:marRight w:val="0"/>
      <w:marTop w:val="0"/>
      <w:marBottom w:val="0"/>
      <w:divBdr>
        <w:top w:val="none" w:sz="0" w:space="0" w:color="auto"/>
        <w:left w:val="none" w:sz="0" w:space="0" w:color="auto"/>
        <w:bottom w:val="none" w:sz="0" w:space="0" w:color="auto"/>
        <w:right w:val="none" w:sz="0" w:space="0" w:color="auto"/>
      </w:divBdr>
    </w:div>
    <w:div w:id="2010600370">
      <w:bodyDiv w:val="1"/>
      <w:marLeft w:val="0"/>
      <w:marRight w:val="0"/>
      <w:marTop w:val="0"/>
      <w:marBottom w:val="0"/>
      <w:divBdr>
        <w:top w:val="none" w:sz="0" w:space="0" w:color="auto"/>
        <w:left w:val="none" w:sz="0" w:space="0" w:color="auto"/>
        <w:bottom w:val="none" w:sz="0" w:space="0" w:color="auto"/>
        <w:right w:val="none" w:sz="0" w:space="0" w:color="auto"/>
      </w:divBdr>
    </w:div>
    <w:div w:id="2015306092">
      <w:bodyDiv w:val="1"/>
      <w:marLeft w:val="0"/>
      <w:marRight w:val="0"/>
      <w:marTop w:val="0"/>
      <w:marBottom w:val="0"/>
      <w:divBdr>
        <w:top w:val="none" w:sz="0" w:space="0" w:color="auto"/>
        <w:left w:val="none" w:sz="0" w:space="0" w:color="auto"/>
        <w:bottom w:val="none" w:sz="0" w:space="0" w:color="auto"/>
        <w:right w:val="none" w:sz="0" w:space="0" w:color="auto"/>
      </w:divBdr>
    </w:div>
    <w:div w:id="2018731783">
      <w:bodyDiv w:val="1"/>
      <w:marLeft w:val="0"/>
      <w:marRight w:val="0"/>
      <w:marTop w:val="0"/>
      <w:marBottom w:val="0"/>
      <w:divBdr>
        <w:top w:val="none" w:sz="0" w:space="0" w:color="auto"/>
        <w:left w:val="none" w:sz="0" w:space="0" w:color="auto"/>
        <w:bottom w:val="none" w:sz="0" w:space="0" w:color="auto"/>
        <w:right w:val="none" w:sz="0" w:space="0" w:color="auto"/>
      </w:divBdr>
    </w:div>
    <w:div w:id="2024168594">
      <w:bodyDiv w:val="1"/>
      <w:marLeft w:val="0"/>
      <w:marRight w:val="0"/>
      <w:marTop w:val="0"/>
      <w:marBottom w:val="0"/>
      <w:divBdr>
        <w:top w:val="none" w:sz="0" w:space="0" w:color="auto"/>
        <w:left w:val="none" w:sz="0" w:space="0" w:color="auto"/>
        <w:bottom w:val="none" w:sz="0" w:space="0" w:color="auto"/>
        <w:right w:val="none" w:sz="0" w:space="0" w:color="auto"/>
      </w:divBdr>
    </w:div>
    <w:div w:id="2026595285">
      <w:bodyDiv w:val="1"/>
      <w:marLeft w:val="0"/>
      <w:marRight w:val="0"/>
      <w:marTop w:val="0"/>
      <w:marBottom w:val="0"/>
      <w:divBdr>
        <w:top w:val="none" w:sz="0" w:space="0" w:color="auto"/>
        <w:left w:val="none" w:sz="0" w:space="0" w:color="auto"/>
        <w:bottom w:val="none" w:sz="0" w:space="0" w:color="auto"/>
        <w:right w:val="none" w:sz="0" w:space="0" w:color="auto"/>
      </w:divBdr>
    </w:div>
    <w:div w:id="2028555151">
      <w:bodyDiv w:val="1"/>
      <w:marLeft w:val="0"/>
      <w:marRight w:val="0"/>
      <w:marTop w:val="0"/>
      <w:marBottom w:val="0"/>
      <w:divBdr>
        <w:top w:val="none" w:sz="0" w:space="0" w:color="auto"/>
        <w:left w:val="none" w:sz="0" w:space="0" w:color="auto"/>
        <w:bottom w:val="none" w:sz="0" w:space="0" w:color="auto"/>
        <w:right w:val="none" w:sz="0" w:space="0" w:color="auto"/>
      </w:divBdr>
    </w:div>
    <w:div w:id="2029485410">
      <w:bodyDiv w:val="1"/>
      <w:marLeft w:val="0"/>
      <w:marRight w:val="0"/>
      <w:marTop w:val="0"/>
      <w:marBottom w:val="0"/>
      <w:divBdr>
        <w:top w:val="none" w:sz="0" w:space="0" w:color="auto"/>
        <w:left w:val="none" w:sz="0" w:space="0" w:color="auto"/>
        <w:bottom w:val="none" w:sz="0" w:space="0" w:color="auto"/>
        <w:right w:val="none" w:sz="0" w:space="0" w:color="auto"/>
      </w:divBdr>
    </w:div>
    <w:div w:id="2033068584">
      <w:bodyDiv w:val="1"/>
      <w:marLeft w:val="0"/>
      <w:marRight w:val="0"/>
      <w:marTop w:val="0"/>
      <w:marBottom w:val="0"/>
      <w:divBdr>
        <w:top w:val="none" w:sz="0" w:space="0" w:color="auto"/>
        <w:left w:val="none" w:sz="0" w:space="0" w:color="auto"/>
        <w:bottom w:val="none" w:sz="0" w:space="0" w:color="auto"/>
        <w:right w:val="none" w:sz="0" w:space="0" w:color="auto"/>
      </w:divBdr>
    </w:div>
    <w:div w:id="2044476637">
      <w:bodyDiv w:val="1"/>
      <w:marLeft w:val="0"/>
      <w:marRight w:val="0"/>
      <w:marTop w:val="0"/>
      <w:marBottom w:val="0"/>
      <w:divBdr>
        <w:top w:val="none" w:sz="0" w:space="0" w:color="auto"/>
        <w:left w:val="none" w:sz="0" w:space="0" w:color="auto"/>
        <w:bottom w:val="none" w:sz="0" w:space="0" w:color="auto"/>
        <w:right w:val="none" w:sz="0" w:space="0" w:color="auto"/>
      </w:divBdr>
    </w:div>
    <w:div w:id="2052728402">
      <w:bodyDiv w:val="1"/>
      <w:marLeft w:val="0"/>
      <w:marRight w:val="0"/>
      <w:marTop w:val="0"/>
      <w:marBottom w:val="0"/>
      <w:divBdr>
        <w:top w:val="none" w:sz="0" w:space="0" w:color="auto"/>
        <w:left w:val="none" w:sz="0" w:space="0" w:color="auto"/>
        <w:bottom w:val="none" w:sz="0" w:space="0" w:color="auto"/>
        <w:right w:val="none" w:sz="0" w:space="0" w:color="auto"/>
      </w:divBdr>
    </w:div>
    <w:div w:id="2060087852">
      <w:bodyDiv w:val="1"/>
      <w:marLeft w:val="0"/>
      <w:marRight w:val="0"/>
      <w:marTop w:val="0"/>
      <w:marBottom w:val="0"/>
      <w:divBdr>
        <w:top w:val="none" w:sz="0" w:space="0" w:color="auto"/>
        <w:left w:val="none" w:sz="0" w:space="0" w:color="auto"/>
        <w:bottom w:val="none" w:sz="0" w:space="0" w:color="auto"/>
        <w:right w:val="none" w:sz="0" w:space="0" w:color="auto"/>
      </w:divBdr>
    </w:div>
    <w:div w:id="2060206471">
      <w:bodyDiv w:val="1"/>
      <w:marLeft w:val="0"/>
      <w:marRight w:val="0"/>
      <w:marTop w:val="0"/>
      <w:marBottom w:val="0"/>
      <w:divBdr>
        <w:top w:val="none" w:sz="0" w:space="0" w:color="auto"/>
        <w:left w:val="none" w:sz="0" w:space="0" w:color="auto"/>
        <w:bottom w:val="none" w:sz="0" w:space="0" w:color="auto"/>
        <w:right w:val="none" w:sz="0" w:space="0" w:color="auto"/>
      </w:divBdr>
    </w:div>
    <w:div w:id="2060282569">
      <w:bodyDiv w:val="1"/>
      <w:marLeft w:val="0"/>
      <w:marRight w:val="0"/>
      <w:marTop w:val="0"/>
      <w:marBottom w:val="0"/>
      <w:divBdr>
        <w:top w:val="none" w:sz="0" w:space="0" w:color="auto"/>
        <w:left w:val="none" w:sz="0" w:space="0" w:color="auto"/>
        <w:bottom w:val="none" w:sz="0" w:space="0" w:color="auto"/>
        <w:right w:val="none" w:sz="0" w:space="0" w:color="auto"/>
      </w:divBdr>
    </w:div>
    <w:div w:id="2061050034">
      <w:bodyDiv w:val="1"/>
      <w:marLeft w:val="0"/>
      <w:marRight w:val="0"/>
      <w:marTop w:val="0"/>
      <w:marBottom w:val="0"/>
      <w:divBdr>
        <w:top w:val="none" w:sz="0" w:space="0" w:color="auto"/>
        <w:left w:val="none" w:sz="0" w:space="0" w:color="auto"/>
        <w:bottom w:val="none" w:sz="0" w:space="0" w:color="auto"/>
        <w:right w:val="none" w:sz="0" w:space="0" w:color="auto"/>
      </w:divBdr>
    </w:div>
    <w:div w:id="2061393250">
      <w:bodyDiv w:val="1"/>
      <w:marLeft w:val="0"/>
      <w:marRight w:val="0"/>
      <w:marTop w:val="0"/>
      <w:marBottom w:val="0"/>
      <w:divBdr>
        <w:top w:val="none" w:sz="0" w:space="0" w:color="auto"/>
        <w:left w:val="none" w:sz="0" w:space="0" w:color="auto"/>
        <w:bottom w:val="none" w:sz="0" w:space="0" w:color="auto"/>
        <w:right w:val="none" w:sz="0" w:space="0" w:color="auto"/>
      </w:divBdr>
    </w:div>
    <w:div w:id="2065449499">
      <w:bodyDiv w:val="1"/>
      <w:marLeft w:val="0"/>
      <w:marRight w:val="0"/>
      <w:marTop w:val="0"/>
      <w:marBottom w:val="0"/>
      <w:divBdr>
        <w:top w:val="none" w:sz="0" w:space="0" w:color="auto"/>
        <w:left w:val="none" w:sz="0" w:space="0" w:color="auto"/>
        <w:bottom w:val="none" w:sz="0" w:space="0" w:color="auto"/>
        <w:right w:val="none" w:sz="0" w:space="0" w:color="auto"/>
      </w:divBdr>
    </w:div>
    <w:div w:id="2067338783">
      <w:bodyDiv w:val="1"/>
      <w:marLeft w:val="0"/>
      <w:marRight w:val="0"/>
      <w:marTop w:val="0"/>
      <w:marBottom w:val="0"/>
      <w:divBdr>
        <w:top w:val="none" w:sz="0" w:space="0" w:color="auto"/>
        <w:left w:val="none" w:sz="0" w:space="0" w:color="auto"/>
        <w:bottom w:val="none" w:sz="0" w:space="0" w:color="auto"/>
        <w:right w:val="none" w:sz="0" w:space="0" w:color="auto"/>
      </w:divBdr>
    </w:div>
    <w:div w:id="2072724504">
      <w:bodyDiv w:val="1"/>
      <w:marLeft w:val="0"/>
      <w:marRight w:val="0"/>
      <w:marTop w:val="0"/>
      <w:marBottom w:val="0"/>
      <w:divBdr>
        <w:top w:val="none" w:sz="0" w:space="0" w:color="auto"/>
        <w:left w:val="none" w:sz="0" w:space="0" w:color="auto"/>
        <w:bottom w:val="none" w:sz="0" w:space="0" w:color="auto"/>
        <w:right w:val="none" w:sz="0" w:space="0" w:color="auto"/>
      </w:divBdr>
    </w:div>
    <w:div w:id="2073889441">
      <w:bodyDiv w:val="1"/>
      <w:marLeft w:val="0"/>
      <w:marRight w:val="0"/>
      <w:marTop w:val="0"/>
      <w:marBottom w:val="0"/>
      <w:divBdr>
        <w:top w:val="none" w:sz="0" w:space="0" w:color="auto"/>
        <w:left w:val="none" w:sz="0" w:space="0" w:color="auto"/>
        <w:bottom w:val="none" w:sz="0" w:space="0" w:color="auto"/>
        <w:right w:val="none" w:sz="0" w:space="0" w:color="auto"/>
      </w:divBdr>
    </w:div>
    <w:div w:id="2076270756">
      <w:bodyDiv w:val="1"/>
      <w:marLeft w:val="0"/>
      <w:marRight w:val="0"/>
      <w:marTop w:val="0"/>
      <w:marBottom w:val="0"/>
      <w:divBdr>
        <w:top w:val="none" w:sz="0" w:space="0" w:color="auto"/>
        <w:left w:val="none" w:sz="0" w:space="0" w:color="auto"/>
        <w:bottom w:val="none" w:sz="0" w:space="0" w:color="auto"/>
        <w:right w:val="none" w:sz="0" w:space="0" w:color="auto"/>
      </w:divBdr>
    </w:div>
    <w:div w:id="2077170010">
      <w:bodyDiv w:val="1"/>
      <w:marLeft w:val="0"/>
      <w:marRight w:val="0"/>
      <w:marTop w:val="0"/>
      <w:marBottom w:val="0"/>
      <w:divBdr>
        <w:top w:val="none" w:sz="0" w:space="0" w:color="auto"/>
        <w:left w:val="none" w:sz="0" w:space="0" w:color="auto"/>
        <w:bottom w:val="none" w:sz="0" w:space="0" w:color="auto"/>
        <w:right w:val="none" w:sz="0" w:space="0" w:color="auto"/>
      </w:divBdr>
    </w:div>
    <w:div w:id="2077238940">
      <w:bodyDiv w:val="1"/>
      <w:marLeft w:val="0"/>
      <w:marRight w:val="0"/>
      <w:marTop w:val="0"/>
      <w:marBottom w:val="0"/>
      <w:divBdr>
        <w:top w:val="none" w:sz="0" w:space="0" w:color="auto"/>
        <w:left w:val="none" w:sz="0" w:space="0" w:color="auto"/>
        <w:bottom w:val="none" w:sz="0" w:space="0" w:color="auto"/>
        <w:right w:val="none" w:sz="0" w:space="0" w:color="auto"/>
      </w:divBdr>
    </w:div>
    <w:div w:id="2082680930">
      <w:bodyDiv w:val="1"/>
      <w:marLeft w:val="0"/>
      <w:marRight w:val="0"/>
      <w:marTop w:val="0"/>
      <w:marBottom w:val="0"/>
      <w:divBdr>
        <w:top w:val="none" w:sz="0" w:space="0" w:color="auto"/>
        <w:left w:val="none" w:sz="0" w:space="0" w:color="auto"/>
        <w:bottom w:val="none" w:sz="0" w:space="0" w:color="auto"/>
        <w:right w:val="none" w:sz="0" w:space="0" w:color="auto"/>
      </w:divBdr>
    </w:div>
    <w:div w:id="2083284834">
      <w:bodyDiv w:val="1"/>
      <w:marLeft w:val="0"/>
      <w:marRight w:val="0"/>
      <w:marTop w:val="0"/>
      <w:marBottom w:val="0"/>
      <w:divBdr>
        <w:top w:val="none" w:sz="0" w:space="0" w:color="auto"/>
        <w:left w:val="none" w:sz="0" w:space="0" w:color="auto"/>
        <w:bottom w:val="none" w:sz="0" w:space="0" w:color="auto"/>
        <w:right w:val="none" w:sz="0" w:space="0" w:color="auto"/>
      </w:divBdr>
    </w:div>
    <w:div w:id="2085495381">
      <w:bodyDiv w:val="1"/>
      <w:marLeft w:val="0"/>
      <w:marRight w:val="0"/>
      <w:marTop w:val="0"/>
      <w:marBottom w:val="0"/>
      <w:divBdr>
        <w:top w:val="none" w:sz="0" w:space="0" w:color="auto"/>
        <w:left w:val="none" w:sz="0" w:space="0" w:color="auto"/>
        <w:bottom w:val="none" w:sz="0" w:space="0" w:color="auto"/>
        <w:right w:val="none" w:sz="0" w:space="0" w:color="auto"/>
      </w:divBdr>
    </w:div>
    <w:div w:id="2087456368">
      <w:bodyDiv w:val="1"/>
      <w:marLeft w:val="0"/>
      <w:marRight w:val="0"/>
      <w:marTop w:val="0"/>
      <w:marBottom w:val="0"/>
      <w:divBdr>
        <w:top w:val="none" w:sz="0" w:space="0" w:color="auto"/>
        <w:left w:val="none" w:sz="0" w:space="0" w:color="auto"/>
        <w:bottom w:val="none" w:sz="0" w:space="0" w:color="auto"/>
        <w:right w:val="none" w:sz="0" w:space="0" w:color="auto"/>
      </w:divBdr>
    </w:div>
    <w:div w:id="2090341674">
      <w:bodyDiv w:val="1"/>
      <w:marLeft w:val="0"/>
      <w:marRight w:val="0"/>
      <w:marTop w:val="0"/>
      <w:marBottom w:val="0"/>
      <w:divBdr>
        <w:top w:val="none" w:sz="0" w:space="0" w:color="auto"/>
        <w:left w:val="none" w:sz="0" w:space="0" w:color="auto"/>
        <w:bottom w:val="none" w:sz="0" w:space="0" w:color="auto"/>
        <w:right w:val="none" w:sz="0" w:space="0" w:color="auto"/>
      </w:divBdr>
    </w:div>
    <w:div w:id="2094933851">
      <w:bodyDiv w:val="1"/>
      <w:marLeft w:val="0"/>
      <w:marRight w:val="0"/>
      <w:marTop w:val="0"/>
      <w:marBottom w:val="0"/>
      <w:divBdr>
        <w:top w:val="none" w:sz="0" w:space="0" w:color="auto"/>
        <w:left w:val="none" w:sz="0" w:space="0" w:color="auto"/>
        <w:bottom w:val="none" w:sz="0" w:space="0" w:color="auto"/>
        <w:right w:val="none" w:sz="0" w:space="0" w:color="auto"/>
      </w:divBdr>
    </w:div>
    <w:div w:id="2096366118">
      <w:bodyDiv w:val="1"/>
      <w:marLeft w:val="0"/>
      <w:marRight w:val="0"/>
      <w:marTop w:val="0"/>
      <w:marBottom w:val="0"/>
      <w:divBdr>
        <w:top w:val="none" w:sz="0" w:space="0" w:color="auto"/>
        <w:left w:val="none" w:sz="0" w:space="0" w:color="auto"/>
        <w:bottom w:val="none" w:sz="0" w:space="0" w:color="auto"/>
        <w:right w:val="none" w:sz="0" w:space="0" w:color="auto"/>
      </w:divBdr>
    </w:div>
    <w:div w:id="2097902532">
      <w:bodyDiv w:val="1"/>
      <w:marLeft w:val="0"/>
      <w:marRight w:val="0"/>
      <w:marTop w:val="0"/>
      <w:marBottom w:val="0"/>
      <w:divBdr>
        <w:top w:val="none" w:sz="0" w:space="0" w:color="auto"/>
        <w:left w:val="none" w:sz="0" w:space="0" w:color="auto"/>
        <w:bottom w:val="none" w:sz="0" w:space="0" w:color="auto"/>
        <w:right w:val="none" w:sz="0" w:space="0" w:color="auto"/>
      </w:divBdr>
    </w:div>
    <w:div w:id="2098400462">
      <w:bodyDiv w:val="1"/>
      <w:marLeft w:val="0"/>
      <w:marRight w:val="0"/>
      <w:marTop w:val="0"/>
      <w:marBottom w:val="0"/>
      <w:divBdr>
        <w:top w:val="none" w:sz="0" w:space="0" w:color="auto"/>
        <w:left w:val="none" w:sz="0" w:space="0" w:color="auto"/>
        <w:bottom w:val="none" w:sz="0" w:space="0" w:color="auto"/>
        <w:right w:val="none" w:sz="0" w:space="0" w:color="auto"/>
      </w:divBdr>
    </w:div>
    <w:div w:id="2100517848">
      <w:bodyDiv w:val="1"/>
      <w:marLeft w:val="0"/>
      <w:marRight w:val="0"/>
      <w:marTop w:val="0"/>
      <w:marBottom w:val="0"/>
      <w:divBdr>
        <w:top w:val="none" w:sz="0" w:space="0" w:color="auto"/>
        <w:left w:val="none" w:sz="0" w:space="0" w:color="auto"/>
        <w:bottom w:val="none" w:sz="0" w:space="0" w:color="auto"/>
        <w:right w:val="none" w:sz="0" w:space="0" w:color="auto"/>
      </w:divBdr>
    </w:div>
    <w:div w:id="2101364227">
      <w:bodyDiv w:val="1"/>
      <w:marLeft w:val="0"/>
      <w:marRight w:val="0"/>
      <w:marTop w:val="0"/>
      <w:marBottom w:val="0"/>
      <w:divBdr>
        <w:top w:val="none" w:sz="0" w:space="0" w:color="auto"/>
        <w:left w:val="none" w:sz="0" w:space="0" w:color="auto"/>
        <w:bottom w:val="none" w:sz="0" w:space="0" w:color="auto"/>
        <w:right w:val="none" w:sz="0" w:space="0" w:color="auto"/>
      </w:divBdr>
    </w:div>
    <w:div w:id="2105373227">
      <w:bodyDiv w:val="1"/>
      <w:marLeft w:val="0"/>
      <w:marRight w:val="0"/>
      <w:marTop w:val="0"/>
      <w:marBottom w:val="0"/>
      <w:divBdr>
        <w:top w:val="none" w:sz="0" w:space="0" w:color="auto"/>
        <w:left w:val="none" w:sz="0" w:space="0" w:color="auto"/>
        <w:bottom w:val="none" w:sz="0" w:space="0" w:color="auto"/>
        <w:right w:val="none" w:sz="0" w:space="0" w:color="auto"/>
      </w:divBdr>
    </w:div>
    <w:div w:id="2106343548">
      <w:bodyDiv w:val="1"/>
      <w:marLeft w:val="0"/>
      <w:marRight w:val="0"/>
      <w:marTop w:val="0"/>
      <w:marBottom w:val="0"/>
      <w:divBdr>
        <w:top w:val="none" w:sz="0" w:space="0" w:color="auto"/>
        <w:left w:val="none" w:sz="0" w:space="0" w:color="auto"/>
        <w:bottom w:val="none" w:sz="0" w:space="0" w:color="auto"/>
        <w:right w:val="none" w:sz="0" w:space="0" w:color="auto"/>
      </w:divBdr>
    </w:div>
    <w:div w:id="2107965965">
      <w:bodyDiv w:val="1"/>
      <w:marLeft w:val="0"/>
      <w:marRight w:val="0"/>
      <w:marTop w:val="0"/>
      <w:marBottom w:val="0"/>
      <w:divBdr>
        <w:top w:val="none" w:sz="0" w:space="0" w:color="auto"/>
        <w:left w:val="none" w:sz="0" w:space="0" w:color="auto"/>
        <w:bottom w:val="none" w:sz="0" w:space="0" w:color="auto"/>
        <w:right w:val="none" w:sz="0" w:space="0" w:color="auto"/>
      </w:divBdr>
    </w:div>
    <w:div w:id="2109697497">
      <w:bodyDiv w:val="1"/>
      <w:marLeft w:val="0"/>
      <w:marRight w:val="0"/>
      <w:marTop w:val="0"/>
      <w:marBottom w:val="0"/>
      <w:divBdr>
        <w:top w:val="none" w:sz="0" w:space="0" w:color="auto"/>
        <w:left w:val="none" w:sz="0" w:space="0" w:color="auto"/>
        <w:bottom w:val="none" w:sz="0" w:space="0" w:color="auto"/>
        <w:right w:val="none" w:sz="0" w:space="0" w:color="auto"/>
      </w:divBdr>
    </w:div>
    <w:div w:id="2110663985">
      <w:bodyDiv w:val="1"/>
      <w:marLeft w:val="0"/>
      <w:marRight w:val="0"/>
      <w:marTop w:val="0"/>
      <w:marBottom w:val="0"/>
      <w:divBdr>
        <w:top w:val="none" w:sz="0" w:space="0" w:color="auto"/>
        <w:left w:val="none" w:sz="0" w:space="0" w:color="auto"/>
        <w:bottom w:val="none" w:sz="0" w:space="0" w:color="auto"/>
        <w:right w:val="none" w:sz="0" w:space="0" w:color="auto"/>
      </w:divBdr>
    </w:div>
    <w:div w:id="2111926864">
      <w:bodyDiv w:val="1"/>
      <w:marLeft w:val="0"/>
      <w:marRight w:val="0"/>
      <w:marTop w:val="0"/>
      <w:marBottom w:val="0"/>
      <w:divBdr>
        <w:top w:val="none" w:sz="0" w:space="0" w:color="auto"/>
        <w:left w:val="none" w:sz="0" w:space="0" w:color="auto"/>
        <w:bottom w:val="none" w:sz="0" w:space="0" w:color="auto"/>
        <w:right w:val="none" w:sz="0" w:space="0" w:color="auto"/>
      </w:divBdr>
    </w:div>
    <w:div w:id="2113159125">
      <w:bodyDiv w:val="1"/>
      <w:marLeft w:val="0"/>
      <w:marRight w:val="0"/>
      <w:marTop w:val="0"/>
      <w:marBottom w:val="0"/>
      <w:divBdr>
        <w:top w:val="none" w:sz="0" w:space="0" w:color="auto"/>
        <w:left w:val="none" w:sz="0" w:space="0" w:color="auto"/>
        <w:bottom w:val="none" w:sz="0" w:space="0" w:color="auto"/>
        <w:right w:val="none" w:sz="0" w:space="0" w:color="auto"/>
      </w:divBdr>
    </w:div>
    <w:div w:id="2113209577">
      <w:bodyDiv w:val="1"/>
      <w:marLeft w:val="0"/>
      <w:marRight w:val="0"/>
      <w:marTop w:val="0"/>
      <w:marBottom w:val="0"/>
      <w:divBdr>
        <w:top w:val="none" w:sz="0" w:space="0" w:color="auto"/>
        <w:left w:val="none" w:sz="0" w:space="0" w:color="auto"/>
        <w:bottom w:val="none" w:sz="0" w:space="0" w:color="auto"/>
        <w:right w:val="none" w:sz="0" w:space="0" w:color="auto"/>
      </w:divBdr>
    </w:div>
    <w:div w:id="2115125505">
      <w:bodyDiv w:val="1"/>
      <w:marLeft w:val="0"/>
      <w:marRight w:val="0"/>
      <w:marTop w:val="0"/>
      <w:marBottom w:val="0"/>
      <w:divBdr>
        <w:top w:val="none" w:sz="0" w:space="0" w:color="auto"/>
        <w:left w:val="none" w:sz="0" w:space="0" w:color="auto"/>
        <w:bottom w:val="none" w:sz="0" w:space="0" w:color="auto"/>
        <w:right w:val="none" w:sz="0" w:space="0" w:color="auto"/>
      </w:divBdr>
    </w:div>
    <w:div w:id="2120832255">
      <w:bodyDiv w:val="1"/>
      <w:marLeft w:val="0"/>
      <w:marRight w:val="0"/>
      <w:marTop w:val="0"/>
      <w:marBottom w:val="0"/>
      <w:divBdr>
        <w:top w:val="none" w:sz="0" w:space="0" w:color="auto"/>
        <w:left w:val="none" w:sz="0" w:space="0" w:color="auto"/>
        <w:bottom w:val="none" w:sz="0" w:space="0" w:color="auto"/>
        <w:right w:val="none" w:sz="0" w:space="0" w:color="auto"/>
      </w:divBdr>
    </w:div>
    <w:div w:id="2125494077">
      <w:bodyDiv w:val="1"/>
      <w:marLeft w:val="0"/>
      <w:marRight w:val="0"/>
      <w:marTop w:val="0"/>
      <w:marBottom w:val="0"/>
      <w:divBdr>
        <w:top w:val="none" w:sz="0" w:space="0" w:color="auto"/>
        <w:left w:val="none" w:sz="0" w:space="0" w:color="auto"/>
        <w:bottom w:val="none" w:sz="0" w:space="0" w:color="auto"/>
        <w:right w:val="none" w:sz="0" w:space="0" w:color="auto"/>
      </w:divBdr>
    </w:div>
    <w:div w:id="2130390191">
      <w:bodyDiv w:val="1"/>
      <w:marLeft w:val="0"/>
      <w:marRight w:val="0"/>
      <w:marTop w:val="0"/>
      <w:marBottom w:val="0"/>
      <w:divBdr>
        <w:top w:val="none" w:sz="0" w:space="0" w:color="auto"/>
        <w:left w:val="none" w:sz="0" w:space="0" w:color="auto"/>
        <w:bottom w:val="none" w:sz="0" w:space="0" w:color="auto"/>
        <w:right w:val="none" w:sz="0" w:space="0" w:color="auto"/>
      </w:divBdr>
    </w:div>
    <w:div w:id="2140996361">
      <w:bodyDiv w:val="1"/>
      <w:marLeft w:val="0"/>
      <w:marRight w:val="0"/>
      <w:marTop w:val="0"/>
      <w:marBottom w:val="0"/>
      <w:divBdr>
        <w:top w:val="none" w:sz="0" w:space="0" w:color="auto"/>
        <w:left w:val="none" w:sz="0" w:space="0" w:color="auto"/>
        <w:bottom w:val="none" w:sz="0" w:space="0" w:color="auto"/>
        <w:right w:val="none" w:sz="0" w:space="0" w:color="auto"/>
      </w:divBdr>
    </w:div>
    <w:div w:id="21439574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H:\Donovan\Projects\Manuscript%20Templates\CreateSpace%20Templates\Template%20Documents\CSP6X9.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DA0D18-4B53-4A3F-AA47-B44190C409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CSP6X9.dot</Template>
  <TotalTime>16</TotalTime>
  <Pages>206</Pages>
  <Words>94102</Words>
  <Characters>536384</Characters>
  <Application>Microsoft Office Word</Application>
  <DocSecurity>0</DocSecurity>
  <PresentationFormat/>
  <Lines>4469</Lines>
  <Paragraphs>1258</Paragraphs>
  <ScaleCrop>false</ScaleCrop>
  <HeadingPairs>
    <vt:vector size="2" baseType="variant">
      <vt:variant>
        <vt:lpstr>Title</vt:lpstr>
      </vt:variant>
      <vt:variant>
        <vt:i4>1</vt:i4>
      </vt:variant>
    </vt:vector>
  </HeadingPairs>
  <TitlesOfParts>
    <vt:vector size="1" baseType="lpstr">
      <vt:lpstr>Paperback-Template-6x9</vt:lpstr>
    </vt:vector>
  </TitlesOfParts>
  <Manager>CreateSpace</Manager>
  <Company>Appian Way Press</Company>
  <LinksUpToDate>false</LinksUpToDate>
  <CharactersWithSpaces>629228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Paperback-Template-6x9</dc:title>
  <dc:subject>Manuscript Template</dc:subject>
  <dc:creator>Rick Brannan</dc:creator>
  <cp:keywords>Public</cp:keywords>
  <dc:description/>
  <cp:lastModifiedBy>Rick Brannan</cp:lastModifiedBy>
  <cp:revision>3</cp:revision>
  <cp:lastPrinted>2021-08-25T13:55:00Z</cp:lastPrinted>
  <dcterms:created xsi:type="dcterms:W3CDTF">2025-12-30T00:22:00Z</dcterms:created>
  <dcterms:modified xsi:type="dcterms:W3CDTF">2025-12-30T00:30:00Z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completed">
    <vt:filetime>2000-11-02T22:00:00Z</vt:filetime>
  </property>
  <property fmtid="{D5CDD505-2E9C-101B-9397-08002B2CF9AE}" pid="3" name="ZOTERO_PREF_1">
    <vt:lpwstr>&lt;data data-version="3" zotero-version="5.0.96.2"&gt;&lt;session id="NhZh3zr8"/&gt;&lt;style id="http://www.zotero.org/styles/society-of-biblical-literature-fullnote-bibliography" hasBibliography="1" bibliographyStyleHasBeenSet="1"/&gt;&lt;prefs&gt;&lt;pref name="fieldType" value</vt:lpwstr>
  </property>
  <property fmtid="{D5CDD505-2E9C-101B-9397-08002B2CF9AE}" pid="4" name="ZOTERO_PREF_2">
    <vt:lpwstr>="Field"/&gt;&lt;pref name="storeReferences" value="true"/&gt;&lt;pref name="noteType" value="1"/&gt;&lt;pref name="dontAskDelayCitationUpdates" value="true"/&gt;&lt;/prefs&gt;&lt;/data&gt;</vt:lpwstr>
  </property>
</Properties>
</file>